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4D41B" w14:textId="03FE35A8" w:rsidR="0076667A" w:rsidRPr="00211D94" w:rsidRDefault="0076667A" w:rsidP="0076667A">
      <w:pPr>
        <w:pStyle w:val="Default"/>
        <w:rPr>
          <w:iCs/>
        </w:rPr>
      </w:pPr>
      <w:r w:rsidRPr="00211D94">
        <w:rPr>
          <w:iCs/>
        </w:rPr>
        <w:t xml:space="preserve">Załącznik do </w:t>
      </w:r>
      <w:r w:rsidR="00AF1203" w:rsidRPr="00211D94">
        <w:rPr>
          <w:iCs/>
        </w:rPr>
        <w:t>u</w:t>
      </w:r>
      <w:r w:rsidRPr="00211D94">
        <w:rPr>
          <w:iCs/>
        </w:rPr>
        <w:t xml:space="preserve">chwały nr </w:t>
      </w:r>
      <w:r w:rsidR="0003482D">
        <w:rPr>
          <w:iCs/>
        </w:rPr>
        <w:t>1/XX/25</w:t>
      </w:r>
      <w:r w:rsidRPr="00211D94">
        <w:rPr>
          <w:iCs/>
        </w:rPr>
        <w:t xml:space="preserve"> </w:t>
      </w:r>
      <w:r w:rsidRPr="00211D94">
        <w:rPr>
          <w:iCs/>
        </w:rPr>
        <w:br/>
      </w:r>
      <w:r w:rsidR="008A043C">
        <w:rPr>
          <w:iCs/>
        </w:rPr>
        <w:t>Komitetu Monitorującego</w:t>
      </w:r>
      <w:r w:rsidR="0003482D">
        <w:rPr>
          <w:iCs/>
        </w:rPr>
        <w:t xml:space="preserve"> RPO WP 2014-2020</w:t>
      </w:r>
      <w:r w:rsidRPr="00211D94">
        <w:rPr>
          <w:iCs/>
        </w:rPr>
        <w:t xml:space="preserve"> </w:t>
      </w:r>
      <w:r w:rsidRPr="00211D94">
        <w:rPr>
          <w:iCs/>
        </w:rPr>
        <w:br/>
        <w:t xml:space="preserve">z dnia </w:t>
      </w:r>
      <w:r w:rsidR="0003482D">
        <w:rPr>
          <w:iCs/>
        </w:rPr>
        <w:t>28</w:t>
      </w:r>
      <w:r w:rsidR="00985607" w:rsidRPr="00211D94">
        <w:rPr>
          <w:iCs/>
        </w:rPr>
        <w:t xml:space="preserve"> listopada 2025 r.</w:t>
      </w:r>
    </w:p>
    <w:p w14:paraId="2E6F76C0" w14:textId="15DC72D0" w:rsidR="00211D94" w:rsidRPr="0003482D" w:rsidRDefault="0002431D" w:rsidP="0003482D">
      <w:pPr>
        <w:spacing w:before="4400" w:after="120"/>
        <w:rPr>
          <w:rFonts w:cs="Arial"/>
          <w:b/>
          <w:sz w:val="36"/>
          <w:szCs w:val="36"/>
        </w:rPr>
      </w:pPr>
      <w:r w:rsidRPr="00211D94">
        <w:rPr>
          <w:rFonts w:cs="Arial"/>
          <w:sz w:val="36"/>
          <w:szCs w:val="36"/>
        </w:rPr>
        <w:t>S</w:t>
      </w:r>
      <w:r w:rsidR="003043FD" w:rsidRPr="00211D94">
        <w:rPr>
          <w:rFonts w:cs="Arial"/>
          <w:sz w:val="36"/>
          <w:szCs w:val="36"/>
        </w:rPr>
        <w:t>PRAWOZDANI</w:t>
      </w:r>
      <w:r w:rsidR="003D490C" w:rsidRPr="00211D94">
        <w:rPr>
          <w:rFonts w:cs="Arial"/>
          <w:sz w:val="36"/>
          <w:szCs w:val="36"/>
        </w:rPr>
        <w:t>E</w:t>
      </w:r>
      <w:r w:rsidR="007066F1" w:rsidRPr="00211D94">
        <w:rPr>
          <w:rFonts w:cs="Arial"/>
          <w:sz w:val="36"/>
          <w:szCs w:val="36"/>
        </w:rPr>
        <w:t xml:space="preserve"> </w:t>
      </w:r>
      <w:r w:rsidR="00E0050F" w:rsidRPr="00211D94">
        <w:rPr>
          <w:rFonts w:cs="Arial"/>
          <w:sz w:val="36"/>
          <w:szCs w:val="36"/>
        </w:rPr>
        <w:t>KOŃCOWE</w:t>
      </w:r>
      <w:r w:rsidRPr="00211D94">
        <w:rPr>
          <w:rFonts w:cs="Arial"/>
          <w:sz w:val="36"/>
          <w:szCs w:val="36"/>
        </w:rPr>
        <w:br/>
      </w:r>
      <w:r w:rsidR="007066F1" w:rsidRPr="00211D94">
        <w:rPr>
          <w:rFonts w:cs="Arial"/>
          <w:sz w:val="36"/>
          <w:szCs w:val="36"/>
        </w:rPr>
        <w:t xml:space="preserve">Z </w:t>
      </w:r>
      <w:r w:rsidR="00633009" w:rsidRPr="00211D94">
        <w:rPr>
          <w:rFonts w:cs="Arial"/>
          <w:sz w:val="36"/>
          <w:szCs w:val="36"/>
        </w:rPr>
        <w:t xml:space="preserve">WDRAŻANIA </w:t>
      </w:r>
      <w:r w:rsidR="003D490C" w:rsidRPr="00211D94">
        <w:rPr>
          <w:rFonts w:cs="Arial"/>
          <w:sz w:val="36"/>
          <w:szCs w:val="36"/>
        </w:rPr>
        <w:t xml:space="preserve">REGIONALNEGO PROGRAMU </w:t>
      </w:r>
      <w:r w:rsidRPr="00211D94">
        <w:rPr>
          <w:rFonts w:cs="Arial"/>
          <w:sz w:val="36"/>
          <w:szCs w:val="36"/>
        </w:rPr>
        <w:br/>
      </w:r>
      <w:r w:rsidR="003D490C" w:rsidRPr="00211D94">
        <w:rPr>
          <w:rFonts w:cs="Arial"/>
          <w:sz w:val="36"/>
          <w:szCs w:val="36"/>
        </w:rPr>
        <w:t>OPERACYJNEGO WOJEWÓDZTWA POMORSKIEGO</w:t>
      </w:r>
      <w:r w:rsidRPr="00211D94">
        <w:rPr>
          <w:rFonts w:cs="Arial"/>
          <w:sz w:val="36"/>
          <w:szCs w:val="36"/>
        </w:rPr>
        <w:br/>
      </w:r>
      <w:r w:rsidR="003D490C" w:rsidRPr="00211D94">
        <w:rPr>
          <w:rFonts w:cs="Arial"/>
          <w:sz w:val="36"/>
          <w:szCs w:val="36"/>
        </w:rPr>
        <w:t>NA LATA 2014-2020</w:t>
      </w:r>
    </w:p>
    <w:p w14:paraId="77509A09" w14:textId="77777777" w:rsidR="00211D94" w:rsidRDefault="00211D94">
      <w:pPr>
        <w:spacing w:after="0" w:line="240" w:lineRule="auto"/>
        <w:rPr>
          <w:rFonts w:cs="Arial"/>
          <w:sz w:val="36"/>
          <w:szCs w:val="36"/>
        </w:rPr>
      </w:pPr>
      <w:r>
        <w:rPr>
          <w:rFonts w:cs="Arial"/>
          <w:sz w:val="36"/>
          <w:szCs w:val="36"/>
        </w:rPr>
        <w:br w:type="page"/>
      </w:r>
    </w:p>
    <w:p w14:paraId="23C94E0D" w14:textId="052B6850" w:rsidR="000A0DF5" w:rsidRPr="00211D94" w:rsidRDefault="005548BF" w:rsidP="00FA4893">
      <w:pPr>
        <w:pStyle w:val="Nagwek1"/>
        <w:rPr>
          <w:b/>
          <w:lang w:val="en-GB"/>
        </w:rPr>
      </w:pPr>
      <w:bookmarkStart w:id="0" w:name="_Toc214025242"/>
      <w:proofErr w:type="spellStart"/>
      <w:r w:rsidRPr="00211D94">
        <w:rPr>
          <w:lang w:val="en-GB"/>
        </w:rPr>
        <w:lastRenderedPageBreak/>
        <w:t>Spis</w:t>
      </w:r>
      <w:proofErr w:type="spellEnd"/>
      <w:r w:rsidRPr="00211D94">
        <w:rPr>
          <w:lang w:val="en-GB"/>
        </w:rPr>
        <w:t xml:space="preserve"> </w:t>
      </w:r>
      <w:proofErr w:type="spellStart"/>
      <w:r w:rsidRPr="00211D94">
        <w:rPr>
          <w:lang w:val="en-GB"/>
        </w:rPr>
        <w:t>treści</w:t>
      </w:r>
      <w:bookmarkEnd w:id="0"/>
      <w:proofErr w:type="spellEnd"/>
    </w:p>
    <w:p w14:paraId="03F4777A" w14:textId="06FA96D0" w:rsidR="007172E8" w:rsidRDefault="0002431D">
      <w:pPr>
        <w:pStyle w:val="Spistreci1"/>
        <w:rPr>
          <w:rFonts w:asciiTheme="minorHAnsi" w:eastAsiaTheme="minorEastAsia" w:hAnsiTheme="minorHAnsi" w:cstheme="minorBidi"/>
          <w:noProof/>
          <w:sz w:val="22"/>
          <w:lang w:eastAsia="pl-PL"/>
        </w:rPr>
      </w:pPr>
      <w:r w:rsidRPr="00211D94">
        <w:rPr>
          <w:rFonts w:cs="Arial"/>
          <w:szCs w:val="24"/>
        </w:rPr>
        <w:fldChar w:fldCharType="begin"/>
      </w:r>
      <w:r w:rsidRPr="00211D94">
        <w:rPr>
          <w:rFonts w:cs="Arial"/>
          <w:szCs w:val="24"/>
        </w:rPr>
        <w:instrText xml:space="preserve"> TOC \o "1-3" \h \z \u </w:instrText>
      </w:r>
      <w:r w:rsidRPr="00211D94">
        <w:rPr>
          <w:rFonts w:cs="Arial"/>
          <w:szCs w:val="24"/>
        </w:rPr>
        <w:fldChar w:fldCharType="separate"/>
      </w:r>
      <w:hyperlink w:anchor="_Toc214025242" w:history="1">
        <w:r w:rsidR="007172E8" w:rsidRPr="00AC464B">
          <w:rPr>
            <w:rStyle w:val="Hipercze"/>
            <w:noProof/>
            <w:lang w:val="en-GB"/>
          </w:rPr>
          <w:t>Spis treści</w:t>
        </w:r>
        <w:r w:rsidR="007172E8">
          <w:rPr>
            <w:noProof/>
            <w:webHidden/>
          </w:rPr>
          <w:tab/>
        </w:r>
        <w:r w:rsidR="007172E8">
          <w:rPr>
            <w:noProof/>
            <w:webHidden/>
          </w:rPr>
          <w:fldChar w:fldCharType="begin"/>
        </w:r>
        <w:r w:rsidR="007172E8">
          <w:rPr>
            <w:noProof/>
            <w:webHidden/>
          </w:rPr>
          <w:instrText xml:space="preserve"> PAGEREF _Toc214025242 \h </w:instrText>
        </w:r>
        <w:r w:rsidR="007172E8">
          <w:rPr>
            <w:noProof/>
            <w:webHidden/>
          </w:rPr>
        </w:r>
        <w:r w:rsidR="007172E8">
          <w:rPr>
            <w:noProof/>
            <w:webHidden/>
          </w:rPr>
          <w:fldChar w:fldCharType="separate"/>
        </w:r>
        <w:r w:rsidR="007172E8">
          <w:rPr>
            <w:noProof/>
            <w:webHidden/>
          </w:rPr>
          <w:t>2</w:t>
        </w:r>
        <w:r w:rsidR="007172E8">
          <w:rPr>
            <w:noProof/>
            <w:webHidden/>
          </w:rPr>
          <w:fldChar w:fldCharType="end"/>
        </w:r>
      </w:hyperlink>
    </w:p>
    <w:p w14:paraId="54982364" w14:textId="238719FF" w:rsidR="007172E8" w:rsidRDefault="008A043C">
      <w:pPr>
        <w:pStyle w:val="Spistreci1"/>
        <w:rPr>
          <w:rFonts w:asciiTheme="minorHAnsi" w:eastAsiaTheme="minorEastAsia" w:hAnsiTheme="minorHAnsi" w:cstheme="minorBidi"/>
          <w:noProof/>
          <w:sz w:val="22"/>
          <w:lang w:eastAsia="pl-PL"/>
        </w:rPr>
      </w:pPr>
      <w:hyperlink w:anchor="_Toc214025243" w:history="1">
        <w:r w:rsidR="007172E8" w:rsidRPr="00AC464B">
          <w:rPr>
            <w:rStyle w:val="Hipercze"/>
            <w:noProof/>
          </w:rPr>
          <w:t>Wykaz użytych skrótów</w:t>
        </w:r>
        <w:r w:rsidR="007172E8">
          <w:rPr>
            <w:noProof/>
            <w:webHidden/>
          </w:rPr>
          <w:tab/>
        </w:r>
        <w:r w:rsidR="007172E8">
          <w:rPr>
            <w:noProof/>
            <w:webHidden/>
          </w:rPr>
          <w:fldChar w:fldCharType="begin"/>
        </w:r>
        <w:r w:rsidR="007172E8">
          <w:rPr>
            <w:noProof/>
            <w:webHidden/>
          </w:rPr>
          <w:instrText xml:space="preserve"> PAGEREF _Toc214025243 \h </w:instrText>
        </w:r>
        <w:r w:rsidR="007172E8">
          <w:rPr>
            <w:noProof/>
            <w:webHidden/>
          </w:rPr>
        </w:r>
        <w:r w:rsidR="007172E8">
          <w:rPr>
            <w:noProof/>
            <w:webHidden/>
          </w:rPr>
          <w:fldChar w:fldCharType="separate"/>
        </w:r>
        <w:r w:rsidR="007172E8">
          <w:rPr>
            <w:noProof/>
            <w:webHidden/>
          </w:rPr>
          <w:t>6</w:t>
        </w:r>
        <w:r w:rsidR="007172E8">
          <w:rPr>
            <w:noProof/>
            <w:webHidden/>
          </w:rPr>
          <w:fldChar w:fldCharType="end"/>
        </w:r>
      </w:hyperlink>
    </w:p>
    <w:p w14:paraId="6B928346" w14:textId="4ED1CEF4" w:rsidR="007172E8" w:rsidRDefault="008A043C">
      <w:pPr>
        <w:pStyle w:val="Spistreci1"/>
        <w:tabs>
          <w:tab w:val="left" w:pos="480"/>
        </w:tabs>
        <w:rPr>
          <w:rFonts w:asciiTheme="minorHAnsi" w:eastAsiaTheme="minorEastAsia" w:hAnsiTheme="minorHAnsi" w:cstheme="minorBidi"/>
          <w:noProof/>
          <w:sz w:val="22"/>
          <w:lang w:eastAsia="pl-PL"/>
        </w:rPr>
      </w:pPr>
      <w:hyperlink w:anchor="_Toc214025244" w:history="1">
        <w:r w:rsidR="007172E8" w:rsidRPr="00AC464B">
          <w:rPr>
            <w:rStyle w:val="Hipercze"/>
            <w:rFonts w:cs="Arial"/>
            <w:noProof/>
          </w:rPr>
          <w:t>1.</w:t>
        </w:r>
        <w:r w:rsidR="007172E8">
          <w:rPr>
            <w:rFonts w:asciiTheme="minorHAnsi" w:eastAsiaTheme="minorEastAsia" w:hAnsiTheme="minorHAnsi" w:cstheme="minorBidi"/>
            <w:noProof/>
            <w:sz w:val="22"/>
            <w:lang w:eastAsia="pl-PL"/>
          </w:rPr>
          <w:tab/>
        </w:r>
        <w:r w:rsidR="007172E8" w:rsidRPr="00AC464B">
          <w:rPr>
            <w:rStyle w:val="Hipercze"/>
            <w:rFonts w:cs="Arial"/>
            <w:noProof/>
          </w:rPr>
          <w:t>Identyfikacja końcowego sprawozdania z wdrażania</w:t>
        </w:r>
        <w:r w:rsidR="007172E8">
          <w:rPr>
            <w:noProof/>
            <w:webHidden/>
          </w:rPr>
          <w:tab/>
        </w:r>
        <w:r w:rsidR="007172E8">
          <w:rPr>
            <w:noProof/>
            <w:webHidden/>
          </w:rPr>
          <w:fldChar w:fldCharType="begin"/>
        </w:r>
        <w:r w:rsidR="007172E8">
          <w:rPr>
            <w:noProof/>
            <w:webHidden/>
          </w:rPr>
          <w:instrText xml:space="preserve"> PAGEREF _Toc214025244 \h </w:instrText>
        </w:r>
        <w:r w:rsidR="007172E8">
          <w:rPr>
            <w:noProof/>
            <w:webHidden/>
          </w:rPr>
        </w:r>
        <w:r w:rsidR="007172E8">
          <w:rPr>
            <w:noProof/>
            <w:webHidden/>
          </w:rPr>
          <w:fldChar w:fldCharType="separate"/>
        </w:r>
        <w:r w:rsidR="007172E8">
          <w:rPr>
            <w:noProof/>
            <w:webHidden/>
          </w:rPr>
          <w:t>8</w:t>
        </w:r>
        <w:r w:rsidR="007172E8">
          <w:rPr>
            <w:noProof/>
            <w:webHidden/>
          </w:rPr>
          <w:fldChar w:fldCharType="end"/>
        </w:r>
      </w:hyperlink>
    </w:p>
    <w:p w14:paraId="6EC30D5D" w14:textId="3140CD19" w:rsidR="007172E8" w:rsidRDefault="008A043C">
      <w:pPr>
        <w:pStyle w:val="Spistreci1"/>
        <w:rPr>
          <w:rFonts w:asciiTheme="minorHAnsi" w:eastAsiaTheme="minorEastAsia" w:hAnsiTheme="minorHAnsi" w:cstheme="minorBidi"/>
          <w:noProof/>
          <w:sz w:val="22"/>
          <w:lang w:eastAsia="pl-PL"/>
        </w:rPr>
      </w:pPr>
      <w:hyperlink w:anchor="_Toc214025245" w:history="1">
        <w:r w:rsidR="007172E8" w:rsidRPr="00AC464B">
          <w:rPr>
            <w:rStyle w:val="Hipercze"/>
            <w:rFonts w:cs="Arial"/>
            <w:noProof/>
          </w:rPr>
          <w:t>2. Przegląd wdrażania programu operacyjnego (art. 50 ust. 2  i art. 111 ust. 3 lit. A) rozporządzenia ogólnego)</w:t>
        </w:r>
        <w:r w:rsidR="007172E8">
          <w:rPr>
            <w:noProof/>
            <w:webHidden/>
          </w:rPr>
          <w:tab/>
        </w:r>
        <w:r w:rsidR="007172E8">
          <w:rPr>
            <w:noProof/>
            <w:webHidden/>
          </w:rPr>
          <w:fldChar w:fldCharType="begin"/>
        </w:r>
        <w:r w:rsidR="007172E8">
          <w:rPr>
            <w:noProof/>
            <w:webHidden/>
          </w:rPr>
          <w:instrText xml:space="preserve"> PAGEREF _Toc214025245 \h </w:instrText>
        </w:r>
        <w:r w:rsidR="007172E8">
          <w:rPr>
            <w:noProof/>
            <w:webHidden/>
          </w:rPr>
        </w:r>
        <w:r w:rsidR="007172E8">
          <w:rPr>
            <w:noProof/>
            <w:webHidden/>
          </w:rPr>
          <w:fldChar w:fldCharType="separate"/>
        </w:r>
        <w:r w:rsidR="007172E8">
          <w:rPr>
            <w:noProof/>
            <w:webHidden/>
          </w:rPr>
          <w:t>8</w:t>
        </w:r>
        <w:r w:rsidR="007172E8">
          <w:rPr>
            <w:noProof/>
            <w:webHidden/>
          </w:rPr>
          <w:fldChar w:fldCharType="end"/>
        </w:r>
      </w:hyperlink>
    </w:p>
    <w:p w14:paraId="4BE48938" w14:textId="597A3E1A" w:rsidR="007172E8" w:rsidRDefault="008A043C">
      <w:pPr>
        <w:pStyle w:val="Spistreci2"/>
        <w:rPr>
          <w:rFonts w:asciiTheme="minorHAnsi" w:eastAsiaTheme="minorEastAsia" w:hAnsiTheme="minorHAnsi" w:cstheme="minorBidi"/>
          <w:bCs w:val="0"/>
          <w:iCs w:val="0"/>
          <w:sz w:val="22"/>
          <w:lang w:eastAsia="pl-PL"/>
        </w:rPr>
      </w:pPr>
      <w:hyperlink w:anchor="_Toc214025246" w:history="1">
        <w:r w:rsidR="007172E8" w:rsidRPr="00AC464B">
          <w:rPr>
            <w:rStyle w:val="Hipercze"/>
          </w:rPr>
          <w:t>2.1. Analiza postępu rzeczowego i finansowego</w:t>
        </w:r>
        <w:r w:rsidR="007172E8">
          <w:rPr>
            <w:webHidden/>
          </w:rPr>
          <w:tab/>
        </w:r>
        <w:r w:rsidR="007172E8">
          <w:rPr>
            <w:webHidden/>
          </w:rPr>
          <w:fldChar w:fldCharType="begin"/>
        </w:r>
        <w:r w:rsidR="007172E8">
          <w:rPr>
            <w:webHidden/>
          </w:rPr>
          <w:instrText xml:space="preserve"> PAGEREF _Toc214025246 \h </w:instrText>
        </w:r>
        <w:r w:rsidR="007172E8">
          <w:rPr>
            <w:webHidden/>
          </w:rPr>
        </w:r>
        <w:r w:rsidR="007172E8">
          <w:rPr>
            <w:webHidden/>
          </w:rPr>
          <w:fldChar w:fldCharType="separate"/>
        </w:r>
        <w:r w:rsidR="007172E8">
          <w:rPr>
            <w:webHidden/>
          </w:rPr>
          <w:t>8</w:t>
        </w:r>
        <w:r w:rsidR="007172E8">
          <w:rPr>
            <w:webHidden/>
          </w:rPr>
          <w:fldChar w:fldCharType="end"/>
        </w:r>
      </w:hyperlink>
    </w:p>
    <w:p w14:paraId="1970FA7E" w14:textId="0FCBBD2B" w:rsidR="007172E8" w:rsidRDefault="008A043C">
      <w:pPr>
        <w:pStyle w:val="Spistreci2"/>
        <w:rPr>
          <w:rFonts w:asciiTheme="minorHAnsi" w:eastAsiaTheme="minorEastAsia" w:hAnsiTheme="minorHAnsi" w:cstheme="minorBidi"/>
          <w:bCs w:val="0"/>
          <w:iCs w:val="0"/>
          <w:sz w:val="22"/>
          <w:lang w:eastAsia="pl-PL"/>
        </w:rPr>
      </w:pPr>
      <w:hyperlink w:anchor="_Toc214025247" w:history="1">
        <w:r w:rsidR="007172E8" w:rsidRPr="00AC464B">
          <w:rPr>
            <w:rStyle w:val="Hipercze"/>
          </w:rPr>
          <w:t>2.2 Ocena stanu wdrażania</w:t>
        </w:r>
        <w:r w:rsidR="007172E8">
          <w:rPr>
            <w:webHidden/>
          </w:rPr>
          <w:tab/>
        </w:r>
        <w:r w:rsidR="007172E8">
          <w:rPr>
            <w:webHidden/>
          </w:rPr>
          <w:fldChar w:fldCharType="begin"/>
        </w:r>
        <w:r w:rsidR="007172E8">
          <w:rPr>
            <w:webHidden/>
          </w:rPr>
          <w:instrText xml:space="preserve"> PAGEREF _Toc214025247 \h </w:instrText>
        </w:r>
        <w:r w:rsidR="007172E8">
          <w:rPr>
            <w:webHidden/>
          </w:rPr>
        </w:r>
        <w:r w:rsidR="007172E8">
          <w:rPr>
            <w:webHidden/>
          </w:rPr>
          <w:fldChar w:fldCharType="separate"/>
        </w:r>
        <w:r w:rsidR="007172E8">
          <w:rPr>
            <w:webHidden/>
          </w:rPr>
          <w:t>9</w:t>
        </w:r>
        <w:r w:rsidR="007172E8">
          <w:rPr>
            <w:webHidden/>
          </w:rPr>
          <w:fldChar w:fldCharType="end"/>
        </w:r>
      </w:hyperlink>
    </w:p>
    <w:p w14:paraId="1E4682C0" w14:textId="10DA0E09" w:rsidR="007172E8" w:rsidRDefault="008A043C">
      <w:pPr>
        <w:pStyle w:val="Spistreci2"/>
        <w:rPr>
          <w:rFonts w:asciiTheme="minorHAnsi" w:eastAsiaTheme="minorEastAsia" w:hAnsiTheme="minorHAnsi" w:cstheme="minorBidi"/>
          <w:bCs w:val="0"/>
          <w:iCs w:val="0"/>
          <w:sz w:val="22"/>
          <w:lang w:eastAsia="pl-PL"/>
        </w:rPr>
      </w:pPr>
      <w:hyperlink w:anchor="_Toc214025248" w:history="1">
        <w:r w:rsidR="007172E8" w:rsidRPr="00AC464B">
          <w:rPr>
            <w:rStyle w:val="Hipercze"/>
          </w:rPr>
          <w:t>2.3 Instrumenty finansowe</w:t>
        </w:r>
        <w:r w:rsidR="007172E8">
          <w:rPr>
            <w:webHidden/>
          </w:rPr>
          <w:tab/>
        </w:r>
        <w:r w:rsidR="007172E8">
          <w:rPr>
            <w:webHidden/>
          </w:rPr>
          <w:fldChar w:fldCharType="begin"/>
        </w:r>
        <w:r w:rsidR="007172E8">
          <w:rPr>
            <w:webHidden/>
          </w:rPr>
          <w:instrText xml:space="preserve"> PAGEREF _Toc214025248 \h </w:instrText>
        </w:r>
        <w:r w:rsidR="007172E8">
          <w:rPr>
            <w:webHidden/>
          </w:rPr>
        </w:r>
        <w:r w:rsidR="007172E8">
          <w:rPr>
            <w:webHidden/>
          </w:rPr>
          <w:fldChar w:fldCharType="separate"/>
        </w:r>
        <w:r w:rsidR="007172E8">
          <w:rPr>
            <w:webHidden/>
          </w:rPr>
          <w:t>11</w:t>
        </w:r>
        <w:r w:rsidR="007172E8">
          <w:rPr>
            <w:webHidden/>
          </w:rPr>
          <w:fldChar w:fldCharType="end"/>
        </w:r>
      </w:hyperlink>
    </w:p>
    <w:p w14:paraId="1212C476" w14:textId="67A5F08E" w:rsidR="007172E8" w:rsidRDefault="008A043C">
      <w:pPr>
        <w:pStyle w:val="Spistreci1"/>
        <w:rPr>
          <w:rFonts w:asciiTheme="minorHAnsi" w:eastAsiaTheme="minorEastAsia" w:hAnsiTheme="minorHAnsi" w:cstheme="minorBidi"/>
          <w:noProof/>
          <w:sz w:val="22"/>
          <w:lang w:eastAsia="pl-PL"/>
        </w:rPr>
      </w:pPr>
      <w:hyperlink w:anchor="_Toc214025249" w:history="1">
        <w:r w:rsidR="007172E8" w:rsidRPr="00AC464B">
          <w:rPr>
            <w:rStyle w:val="Hipercze"/>
            <w:rFonts w:cs="Arial"/>
            <w:noProof/>
          </w:rPr>
          <w:t>3.Wdrażanie osi priorytetowej (art. 50 ust. 2 rozporządzenia ogólnego)</w:t>
        </w:r>
        <w:r w:rsidR="007172E8">
          <w:rPr>
            <w:noProof/>
            <w:webHidden/>
          </w:rPr>
          <w:tab/>
        </w:r>
        <w:r w:rsidR="007172E8">
          <w:rPr>
            <w:noProof/>
            <w:webHidden/>
          </w:rPr>
          <w:fldChar w:fldCharType="begin"/>
        </w:r>
        <w:r w:rsidR="007172E8">
          <w:rPr>
            <w:noProof/>
            <w:webHidden/>
          </w:rPr>
          <w:instrText xml:space="preserve"> PAGEREF _Toc214025249 \h </w:instrText>
        </w:r>
        <w:r w:rsidR="007172E8">
          <w:rPr>
            <w:noProof/>
            <w:webHidden/>
          </w:rPr>
        </w:r>
        <w:r w:rsidR="007172E8">
          <w:rPr>
            <w:noProof/>
            <w:webHidden/>
          </w:rPr>
          <w:fldChar w:fldCharType="separate"/>
        </w:r>
        <w:r w:rsidR="007172E8">
          <w:rPr>
            <w:noProof/>
            <w:webHidden/>
          </w:rPr>
          <w:t>12</w:t>
        </w:r>
        <w:r w:rsidR="007172E8">
          <w:rPr>
            <w:noProof/>
            <w:webHidden/>
          </w:rPr>
          <w:fldChar w:fldCharType="end"/>
        </w:r>
      </w:hyperlink>
    </w:p>
    <w:p w14:paraId="7507ABFF" w14:textId="18C82A52" w:rsidR="007172E8" w:rsidRDefault="008A043C">
      <w:pPr>
        <w:pStyle w:val="Spistreci2"/>
        <w:rPr>
          <w:rFonts w:asciiTheme="minorHAnsi" w:eastAsiaTheme="minorEastAsia" w:hAnsiTheme="minorHAnsi" w:cstheme="minorBidi"/>
          <w:bCs w:val="0"/>
          <w:iCs w:val="0"/>
          <w:sz w:val="22"/>
          <w:lang w:eastAsia="pl-PL"/>
        </w:rPr>
      </w:pPr>
      <w:hyperlink w:anchor="_Toc214025250" w:history="1">
        <w:r w:rsidR="007172E8" w:rsidRPr="00AC464B">
          <w:rPr>
            <w:rStyle w:val="Hipercze"/>
          </w:rPr>
          <w:t>3.1. Przegląd wdrażania</w:t>
        </w:r>
        <w:r w:rsidR="007172E8">
          <w:rPr>
            <w:webHidden/>
          </w:rPr>
          <w:tab/>
        </w:r>
        <w:r w:rsidR="007172E8">
          <w:rPr>
            <w:webHidden/>
          </w:rPr>
          <w:fldChar w:fldCharType="begin"/>
        </w:r>
        <w:r w:rsidR="007172E8">
          <w:rPr>
            <w:webHidden/>
          </w:rPr>
          <w:instrText xml:space="preserve"> PAGEREF _Toc214025250 \h </w:instrText>
        </w:r>
        <w:r w:rsidR="007172E8">
          <w:rPr>
            <w:webHidden/>
          </w:rPr>
        </w:r>
        <w:r w:rsidR="007172E8">
          <w:rPr>
            <w:webHidden/>
          </w:rPr>
          <w:fldChar w:fldCharType="separate"/>
        </w:r>
        <w:r w:rsidR="007172E8">
          <w:rPr>
            <w:webHidden/>
          </w:rPr>
          <w:t>12</w:t>
        </w:r>
        <w:r w:rsidR="007172E8">
          <w:rPr>
            <w:webHidden/>
          </w:rPr>
          <w:fldChar w:fldCharType="end"/>
        </w:r>
      </w:hyperlink>
    </w:p>
    <w:p w14:paraId="425E3A44" w14:textId="135C8213"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1" w:history="1">
        <w:r w:rsidR="007172E8" w:rsidRPr="00AC464B">
          <w:rPr>
            <w:rStyle w:val="Hipercze"/>
            <w:rFonts w:cs="Arial"/>
            <w:noProof/>
          </w:rPr>
          <w:t>3.1.1. Oś Priorytetowa 1. Komercjalizacja wiedzy.</w:t>
        </w:r>
        <w:r w:rsidR="007172E8">
          <w:rPr>
            <w:noProof/>
            <w:webHidden/>
          </w:rPr>
          <w:tab/>
        </w:r>
        <w:r w:rsidR="007172E8">
          <w:rPr>
            <w:noProof/>
            <w:webHidden/>
          </w:rPr>
          <w:fldChar w:fldCharType="begin"/>
        </w:r>
        <w:r w:rsidR="007172E8">
          <w:rPr>
            <w:noProof/>
            <w:webHidden/>
          </w:rPr>
          <w:instrText xml:space="preserve"> PAGEREF _Toc214025251 \h </w:instrText>
        </w:r>
        <w:r w:rsidR="007172E8">
          <w:rPr>
            <w:noProof/>
            <w:webHidden/>
          </w:rPr>
        </w:r>
        <w:r w:rsidR="007172E8">
          <w:rPr>
            <w:noProof/>
            <w:webHidden/>
          </w:rPr>
          <w:fldChar w:fldCharType="separate"/>
        </w:r>
        <w:r w:rsidR="007172E8">
          <w:rPr>
            <w:noProof/>
            <w:webHidden/>
          </w:rPr>
          <w:t>12</w:t>
        </w:r>
        <w:r w:rsidR="007172E8">
          <w:rPr>
            <w:noProof/>
            <w:webHidden/>
          </w:rPr>
          <w:fldChar w:fldCharType="end"/>
        </w:r>
      </w:hyperlink>
    </w:p>
    <w:p w14:paraId="33EE1A72" w14:textId="2F30C45D"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2" w:history="1">
        <w:r w:rsidR="007172E8" w:rsidRPr="00AC464B">
          <w:rPr>
            <w:rStyle w:val="Hipercze"/>
            <w:rFonts w:cs="Arial"/>
            <w:noProof/>
          </w:rPr>
          <w:t>3.1.2. Oś Priorytetowa 2. Przedsiębiorstwa.</w:t>
        </w:r>
        <w:r w:rsidR="007172E8">
          <w:rPr>
            <w:noProof/>
            <w:webHidden/>
          </w:rPr>
          <w:tab/>
        </w:r>
        <w:r w:rsidR="007172E8">
          <w:rPr>
            <w:noProof/>
            <w:webHidden/>
          </w:rPr>
          <w:fldChar w:fldCharType="begin"/>
        </w:r>
        <w:r w:rsidR="007172E8">
          <w:rPr>
            <w:noProof/>
            <w:webHidden/>
          </w:rPr>
          <w:instrText xml:space="preserve"> PAGEREF _Toc214025252 \h </w:instrText>
        </w:r>
        <w:r w:rsidR="007172E8">
          <w:rPr>
            <w:noProof/>
            <w:webHidden/>
          </w:rPr>
        </w:r>
        <w:r w:rsidR="007172E8">
          <w:rPr>
            <w:noProof/>
            <w:webHidden/>
          </w:rPr>
          <w:fldChar w:fldCharType="separate"/>
        </w:r>
        <w:r w:rsidR="007172E8">
          <w:rPr>
            <w:noProof/>
            <w:webHidden/>
          </w:rPr>
          <w:t>12</w:t>
        </w:r>
        <w:r w:rsidR="007172E8">
          <w:rPr>
            <w:noProof/>
            <w:webHidden/>
          </w:rPr>
          <w:fldChar w:fldCharType="end"/>
        </w:r>
      </w:hyperlink>
    </w:p>
    <w:p w14:paraId="507955CA" w14:textId="1F3C6D83"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3" w:history="1">
        <w:r w:rsidR="007172E8" w:rsidRPr="00AC464B">
          <w:rPr>
            <w:rStyle w:val="Hipercze"/>
            <w:rFonts w:cs="Arial"/>
            <w:noProof/>
          </w:rPr>
          <w:t>3.1.3. Oś Priorytetowa 3. Edukacja</w:t>
        </w:r>
        <w:r w:rsidR="007172E8">
          <w:rPr>
            <w:noProof/>
            <w:webHidden/>
          </w:rPr>
          <w:tab/>
        </w:r>
        <w:r w:rsidR="007172E8">
          <w:rPr>
            <w:noProof/>
            <w:webHidden/>
          </w:rPr>
          <w:fldChar w:fldCharType="begin"/>
        </w:r>
        <w:r w:rsidR="007172E8">
          <w:rPr>
            <w:noProof/>
            <w:webHidden/>
          </w:rPr>
          <w:instrText xml:space="preserve"> PAGEREF _Toc214025253 \h </w:instrText>
        </w:r>
        <w:r w:rsidR="007172E8">
          <w:rPr>
            <w:noProof/>
            <w:webHidden/>
          </w:rPr>
        </w:r>
        <w:r w:rsidR="007172E8">
          <w:rPr>
            <w:noProof/>
            <w:webHidden/>
          </w:rPr>
          <w:fldChar w:fldCharType="separate"/>
        </w:r>
        <w:r w:rsidR="007172E8">
          <w:rPr>
            <w:noProof/>
            <w:webHidden/>
          </w:rPr>
          <w:t>13</w:t>
        </w:r>
        <w:r w:rsidR="007172E8">
          <w:rPr>
            <w:noProof/>
            <w:webHidden/>
          </w:rPr>
          <w:fldChar w:fldCharType="end"/>
        </w:r>
      </w:hyperlink>
    </w:p>
    <w:p w14:paraId="59DD0012" w14:textId="466530C3"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4" w:history="1">
        <w:r w:rsidR="007172E8" w:rsidRPr="00AC464B">
          <w:rPr>
            <w:rStyle w:val="Hipercze"/>
            <w:rFonts w:cs="Arial"/>
            <w:noProof/>
          </w:rPr>
          <w:t>3.1.4. Oś Priorytetowa 4. Kształcenie zawodowe.</w:t>
        </w:r>
        <w:r w:rsidR="007172E8">
          <w:rPr>
            <w:noProof/>
            <w:webHidden/>
          </w:rPr>
          <w:tab/>
        </w:r>
        <w:r w:rsidR="007172E8">
          <w:rPr>
            <w:noProof/>
            <w:webHidden/>
          </w:rPr>
          <w:fldChar w:fldCharType="begin"/>
        </w:r>
        <w:r w:rsidR="007172E8">
          <w:rPr>
            <w:noProof/>
            <w:webHidden/>
          </w:rPr>
          <w:instrText xml:space="preserve"> PAGEREF _Toc214025254 \h </w:instrText>
        </w:r>
        <w:r w:rsidR="007172E8">
          <w:rPr>
            <w:noProof/>
            <w:webHidden/>
          </w:rPr>
        </w:r>
        <w:r w:rsidR="007172E8">
          <w:rPr>
            <w:noProof/>
            <w:webHidden/>
          </w:rPr>
          <w:fldChar w:fldCharType="separate"/>
        </w:r>
        <w:r w:rsidR="007172E8">
          <w:rPr>
            <w:noProof/>
            <w:webHidden/>
          </w:rPr>
          <w:t>14</w:t>
        </w:r>
        <w:r w:rsidR="007172E8">
          <w:rPr>
            <w:noProof/>
            <w:webHidden/>
          </w:rPr>
          <w:fldChar w:fldCharType="end"/>
        </w:r>
      </w:hyperlink>
    </w:p>
    <w:p w14:paraId="0E589CA4" w14:textId="3F6D5D0D"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5" w:history="1">
        <w:r w:rsidR="007172E8" w:rsidRPr="00AC464B">
          <w:rPr>
            <w:rStyle w:val="Hipercze"/>
            <w:rFonts w:cs="Arial"/>
            <w:noProof/>
          </w:rPr>
          <w:t>3.1.5. Oś Priorytetowa 5. Zatrudnienie</w:t>
        </w:r>
        <w:r w:rsidR="007172E8">
          <w:rPr>
            <w:noProof/>
            <w:webHidden/>
          </w:rPr>
          <w:tab/>
        </w:r>
        <w:r w:rsidR="007172E8">
          <w:rPr>
            <w:noProof/>
            <w:webHidden/>
          </w:rPr>
          <w:fldChar w:fldCharType="begin"/>
        </w:r>
        <w:r w:rsidR="007172E8">
          <w:rPr>
            <w:noProof/>
            <w:webHidden/>
          </w:rPr>
          <w:instrText xml:space="preserve"> PAGEREF _Toc214025255 \h </w:instrText>
        </w:r>
        <w:r w:rsidR="007172E8">
          <w:rPr>
            <w:noProof/>
            <w:webHidden/>
          </w:rPr>
        </w:r>
        <w:r w:rsidR="007172E8">
          <w:rPr>
            <w:noProof/>
            <w:webHidden/>
          </w:rPr>
          <w:fldChar w:fldCharType="separate"/>
        </w:r>
        <w:r w:rsidR="007172E8">
          <w:rPr>
            <w:noProof/>
            <w:webHidden/>
          </w:rPr>
          <w:t>15</w:t>
        </w:r>
        <w:r w:rsidR="007172E8">
          <w:rPr>
            <w:noProof/>
            <w:webHidden/>
          </w:rPr>
          <w:fldChar w:fldCharType="end"/>
        </w:r>
      </w:hyperlink>
    </w:p>
    <w:p w14:paraId="787DFAD8" w14:textId="6DA69E0F"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6" w:history="1">
        <w:r w:rsidR="007172E8" w:rsidRPr="00AC464B">
          <w:rPr>
            <w:rStyle w:val="Hipercze"/>
            <w:rFonts w:cs="Arial"/>
            <w:noProof/>
          </w:rPr>
          <w:t>3.1.6. Oś Priorytetowa 6. Integracja</w:t>
        </w:r>
        <w:r w:rsidR="007172E8">
          <w:rPr>
            <w:noProof/>
            <w:webHidden/>
          </w:rPr>
          <w:tab/>
        </w:r>
        <w:r w:rsidR="007172E8">
          <w:rPr>
            <w:noProof/>
            <w:webHidden/>
          </w:rPr>
          <w:fldChar w:fldCharType="begin"/>
        </w:r>
        <w:r w:rsidR="007172E8">
          <w:rPr>
            <w:noProof/>
            <w:webHidden/>
          </w:rPr>
          <w:instrText xml:space="preserve"> PAGEREF _Toc214025256 \h </w:instrText>
        </w:r>
        <w:r w:rsidR="007172E8">
          <w:rPr>
            <w:noProof/>
            <w:webHidden/>
          </w:rPr>
        </w:r>
        <w:r w:rsidR="007172E8">
          <w:rPr>
            <w:noProof/>
            <w:webHidden/>
          </w:rPr>
          <w:fldChar w:fldCharType="separate"/>
        </w:r>
        <w:r w:rsidR="007172E8">
          <w:rPr>
            <w:noProof/>
            <w:webHidden/>
          </w:rPr>
          <w:t>15</w:t>
        </w:r>
        <w:r w:rsidR="007172E8">
          <w:rPr>
            <w:noProof/>
            <w:webHidden/>
          </w:rPr>
          <w:fldChar w:fldCharType="end"/>
        </w:r>
      </w:hyperlink>
    </w:p>
    <w:p w14:paraId="140D2450" w14:textId="10767671"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7" w:history="1">
        <w:r w:rsidR="007172E8" w:rsidRPr="00AC464B">
          <w:rPr>
            <w:rStyle w:val="Hipercze"/>
            <w:rFonts w:cs="Arial"/>
            <w:noProof/>
          </w:rPr>
          <w:t>3.1.7. Oś Priorytetowa 7. Zdrowie i opieka.</w:t>
        </w:r>
        <w:r w:rsidR="007172E8">
          <w:rPr>
            <w:noProof/>
            <w:webHidden/>
          </w:rPr>
          <w:tab/>
        </w:r>
        <w:r w:rsidR="007172E8">
          <w:rPr>
            <w:noProof/>
            <w:webHidden/>
          </w:rPr>
          <w:fldChar w:fldCharType="begin"/>
        </w:r>
        <w:r w:rsidR="007172E8">
          <w:rPr>
            <w:noProof/>
            <w:webHidden/>
          </w:rPr>
          <w:instrText xml:space="preserve"> PAGEREF _Toc214025257 \h </w:instrText>
        </w:r>
        <w:r w:rsidR="007172E8">
          <w:rPr>
            <w:noProof/>
            <w:webHidden/>
          </w:rPr>
        </w:r>
        <w:r w:rsidR="007172E8">
          <w:rPr>
            <w:noProof/>
            <w:webHidden/>
          </w:rPr>
          <w:fldChar w:fldCharType="separate"/>
        </w:r>
        <w:r w:rsidR="007172E8">
          <w:rPr>
            <w:noProof/>
            <w:webHidden/>
          </w:rPr>
          <w:t>16</w:t>
        </w:r>
        <w:r w:rsidR="007172E8">
          <w:rPr>
            <w:noProof/>
            <w:webHidden/>
          </w:rPr>
          <w:fldChar w:fldCharType="end"/>
        </w:r>
      </w:hyperlink>
    </w:p>
    <w:p w14:paraId="5736BDA5" w14:textId="64DD9DDE"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8" w:history="1">
        <w:r w:rsidR="007172E8" w:rsidRPr="00AC464B">
          <w:rPr>
            <w:rStyle w:val="Hipercze"/>
            <w:rFonts w:cs="Arial"/>
            <w:noProof/>
          </w:rPr>
          <w:t>3.1.8. Oś Priorytetowa 8. Konwersja.</w:t>
        </w:r>
        <w:r w:rsidR="007172E8">
          <w:rPr>
            <w:noProof/>
            <w:webHidden/>
          </w:rPr>
          <w:tab/>
        </w:r>
        <w:r w:rsidR="007172E8">
          <w:rPr>
            <w:noProof/>
            <w:webHidden/>
          </w:rPr>
          <w:fldChar w:fldCharType="begin"/>
        </w:r>
        <w:r w:rsidR="007172E8">
          <w:rPr>
            <w:noProof/>
            <w:webHidden/>
          </w:rPr>
          <w:instrText xml:space="preserve"> PAGEREF _Toc214025258 \h </w:instrText>
        </w:r>
        <w:r w:rsidR="007172E8">
          <w:rPr>
            <w:noProof/>
            <w:webHidden/>
          </w:rPr>
        </w:r>
        <w:r w:rsidR="007172E8">
          <w:rPr>
            <w:noProof/>
            <w:webHidden/>
          </w:rPr>
          <w:fldChar w:fldCharType="separate"/>
        </w:r>
        <w:r w:rsidR="007172E8">
          <w:rPr>
            <w:noProof/>
            <w:webHidden/>
          </w:rPr>
          <w:t>17</w:t>
        </w:r>
        <w:r w:rsidR="007172E8">
          <w:rPr>
            <w:noProof/>
            <w:webHidden/>
          </w:rPr>
          <w:fldChar w:fldCharType="end"/>
        </w:r>
      </w:hyperlink>
    </w:p>
    <w:p w14:paraId="6A163FB3" w14:textId="117B8A77"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59" w:history="1">
        <w:r w:rsidR="007172E8" w:rsidRPr="00AC464B">
          <w:rPr>
            <w:rStyle w:val="Hipercze"/>
            <w:rFonts w:cs="Arial"/>
            <w:noProof/>
          </w:rPr>
          <w:t>3.1.9. Oś Priorytetowa 9. Mobilność.</w:t>
        </w:r>
        <w:r w:rsidR="007172E8">
          <w:rPr>
            <w:noProof/>
            <w:webHidden/>
          </w:rPr>
          <w:tab/>
        </w:r>
        <w:r w:rsidR="007172E8">
          <w:rPr>
            <w:noProof/>
            <w:webHidden/>
          </w:rPr>
          <w:fldChar w:fldCharType="begin"/>
        </w:r>
        <w:r w:rsidR="007172E8">
          <w:rPr>
            <w:noProof/>
            <w:webHidden/>
          </w:rPr>
          <w:instrText xml:space="preserve"> PAGEREF _Toc214025259 \h </w:instrText>
        </w:r>
        <w:r w:rsidR="007172E8">
          <w:rPr>
            <w:noProof/>
            <w:webHidden/>
          </w:rPr>
        </w:r>
        <w:r w:rsidR="007172E8">
          <w:rPr>
            <w:noProof/>
            <w:webHidden/>
          </w:rPr>
          <w:fldChar w:fldCharType="separate"/>
        </w:r>
        <w:r w:rsidR="007172E8">
          <w:rPr>
            <w:noProof/>
            <w:webHidden/>
          </w:rPr>
          <w:t>18</w:t>
        </w:r>
        <w:r w:rsidR="007172E8">
          <w:rPr>
            <w:noProof/>
            <w:webHidden/>
          </w:rPr>
          <w:fldChar w:fldCharType="end"/>
        </w:r>
      </w:hyperlink>
    </w:p>
    <w:p w14:paraId="7296B148" w14:textId="358D8895"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60" w:history="1">
        <w:r w:rsidR="007172E8" w:rsidRPr="00AC464B">
          <w:rPr>
            <w:rStyle w:val="Hipercze"/>
            <w:rFonts w:cs="Arial"/>
            <w:noProof/>
          </w:rPr>
          <w:t>3.1.10. Oś Priorytetowa 10. Energia.</w:t>
        </w:r>
        <w:r w:rsidR="007172E8">
          <w:rPr>
            <w:noProof/>
            <w:webHidden/>
          </w:rPr>
          <w:tab/>
        </w:r>
        <w:r w:rsidR="007172E8">
          <w:rPr>
            <w:noProof/>
            <w:webHidden/>
          </w:rPr>
          <w:fldChar w:fldCharType="begin"/>
        </w:r>
        <w:r w:rsidR="007172E8">
          <w:rPr>
            <w:noProof/>
            <w:webHidden/>
          </w:rPr>
          <w:instrText xml:space="preserve"> PAGEREF _Toc214025260 \h </w:instrText>
        </w:r>
        <w:r w:rsidR="007172E8">
          <w:rPr>
            <w:noProof/>
            <w:webHidden/>
          </w:rPr>
        </w:r>
        <w:r w:rsidR="007172E8">
          <w:rPr>
            <w:noProof/>
            <w:webHidden/>
          </w:rPr>
          <w:fldChar w:fldCharType="separate"/>
        </w:r>
        <w:r w:rsidR="007172E8">
          <w:rPr>
            <w:noProof/>
            <w:webHidden/>
          </w:rPr>
          <w:t>19</w:t>
        </w:r>
        <w:r w:rsidR="007172E8">
          <w:rPr>
            <w:noProof/>
            <w:webHidden/>
          </w:rPr>
          <w:fldChar w:fldCharType="end"/>
        </w:r>
      </w:hyperlink>
    </w:p>
    <w:p w14:paraId="1A1C0FA5" w14:textId="2BEC9A9B"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61" w:history="1">
        <w:r w:rsidR="007172E8" w:rsidRPr="00AC464B">
          <w:rPr>
            <w:rStyle w:val="Hipercze"/>
            <w:rFonts w:cs="Arial"/>
            <w:noProof/>
          </w:rPr>
          <w:t>3.1.11. Oś Priorytetowa 11. Środowisko.</w:t>
        </w:r>
        <w:r w:rsidR="007172E8">
          <w:rPr>
            <w:noProof/>
            <w:webHidden/>
          </w:rPr>
          <w:tab/>
        </w:r>
        <w:r w:rsidR="007172E8">
          <w:rPr>
            <w:noProof/>
            <w:webHidden/>
          </w:rPr>
          <w:fldChar w:fldCharType="begin"/>
        </w:r>
        <w:r w:rsidR="007172E8">
          <w:rPr>
            <w:noProof/>
            <w:webHidden/>
          </w:rPr>
          <w:instrText xml:space="preserve"> PAGEREF _Toc214025261 \h </w:instrText>
        </w:r>
        <w:r w:rsidR="007172E8">
          <w:rPr>
            <w:noProof/>
            <w:webHidden/>
          </w:rPr>
        </w:r>
        <w:r w:rsidR="007172E8">
          <w:rPr>
            <w:noProof/>
            <w:webHidden/>
          </w:rPr>
          <w:fldChar w:fldCharType="separate"/>
        </w:r>
        <w:r w:rsidR="007172E8">
          <w:rPr>
            <w:noProof/>
            <w:webHidden/>
          </w:rPr>
          <w:t>19</w:t>
        </w:r>
        <w:r w:rsidR="007172E8">
          <w:rPr>
            <w:noProof/>
            <w:webHidden/>
          </w:rPr>
          <w:fldChar w:fldCharType="end"/>
        </w:r>
      </w:hyperlink>
    </w:p>
    <w:p w14:paraId="4190E36A" w14:textId="7143403E"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62" w:history="1">
        <w:r w:rsidR="007172E8" w:rsidRPr="00AC464B">
          <w:rPr>
            <w:rStyle w:val="Hipercze"/>
            <w:rFonts w:cs="Arial"/>
            <w:noProof/>
          </w:rPr>
          <w:t>3.1.12. Oś Priorytetowa 12. Pomoc techniczna</w:t>
        </w:r>
        <w:r w:rsidR="007172E8">
          <w:rPr>
            <w:noProof/>
            <w:webHidden/>
          </w:rPr>
          <w:tab/>
        </w:r>
        <w:r w:rsidR="007172E8">
          <w:rPr>
            <w:noProof/>
            <w:webHidden/>
          </w:rPr>
          <w:fldChar w:fldCharType="begin"/>
        </w:r>
        <w:r w:rsidR="007172E8">
          <w:rPr>
            <w:noProof/>
            <w:webHidden/>
          </w:rPr>
          <w:instrText xml:space="preserve"> PAGEREF _Toc214025262 \h </w:instrText>
        </w:r>
        <w:r w:rsidR="007172E8">
          <w:rPr>
            <w:noProof/>
            <w:webHidden/>
          </w:rPr>
        </w:r>
        <w:r w:rsidR="007172E8">
          <w:rPr>
            <w:noProof/>
            <w:webHidden/>
          </w:rPr>
          <w:fldChar w:fldCharType="separate"/>
        </w:r>
        <w:r w:rsidR="007172E8">
          <w:rPr>
            <w:noProof/>
            <w:webHidden/>
          </w:rPr>
          <w:t>20</w:t>
        </w:r>
        <w:r w:rsidR="007172E8">
          <w:rPr>
            <w:noProof/>
            <w:webHidden/>
          </w:rPr>
          <w:fldChar w:fldCharType="end"/>
        </w:r>
      </w:hyperlink>
    </w:p>
    <w:p w14:paraId="6E71355E" w14:textId="4C3753CF"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63" w:history="1">
        <w:r w:rsidR="007172E8" w:rsidRPr="00AC464B">
          <w:rPr>
            <w:rStyle w:val="Hipercze"/>
            <w:rFonts w:cs="Arial"/>
            <w:noProof/>
          </w:rPr>
          <w:t>3.1.13. Oś Priorytetowa 13. Odbudowa i odporność (REACT-EU)</w:t>
        </w:r>
        <w:r w:rsidR="007172E8">
          <w:rPr>
            <w:noProof/>
            <w:webHidden/>
          </w:rPr>
          <w:tab/>
        </w:r>
        <w:r w:rsidR="007172E8">
          <w:rPr>
            <w:noProof/>
            <w:webHidden/>
          </w:rPr>
          <w:fldChar w:fldCharType="begin"/>
        </w:r>
        <w:r w:rsidR="007172E8">
          <w:rPr>
            <w:noProof/>
            <w:webHidden/>
          </w:rPr>
          <w:instrText xml:space="preserve"> PAGEREF _Toc214025263 \h </w:instrText>
        </w:r>
        <w:r w:rsidR="007172E8">
          <w:rPr>
            <w:noProof/>
            <w:webHidden/>
          </w:rPr>
        </w:r>
        <w:r w:rsidR="007172E8">
          <w:rPr>
            <w:noProof/>
            <w:webHidden/>
          </w:rPr>
          <w:fldChar w:fldCharType="separate"/>
        </w:r>
        <w:r w:rsidR="007172E8">
          <w:rPr>
            <w:noProof/>
            <w:webHidden/>
          </w:rPr>
          <w:t>21</w:t>
        </w:r>
        <w:r w:rsidR="007172E8">
          <w:rPr>
            <w:noProof/>
            <w:webHidden/>
          </w:rPr>
          <w:fldChar w:fldCharType="end"/>
        </w:r>
      </w:hyperlink>
    </w:p>
    <w:p w14:paraId="08194B84" w14:textId="5075BC5D" w:rsidR="007172E8" w:rsidRDefault="008A043C">
      <w:pPr>
        <w:pStyle w:val="Spistreci3"/>
        <w:tabs>
          <w:tab w:val="right" w:leader="dot" w:pos="9062"/>
        </w:tabs>
        <w:rPr>
          <w:rFonts w:asciiTheme="minorHAnsi" w:eastAsiaTheme="minorEastAsia" w:hAnsiTheme="minorHAnsi" w:cstheme="minorBidi"/>
          <w:noProof/>
          <w:sz w:val="22"/>
          <w:lang w:eastAsia="pl-PL"/>
        </w:rPr>
      </w:pPr>
      <w:hyperlink w:anchor="_Toc214025264" w:history="1">
        <w:r w:rsidR="007172E8" w:rsidRPr="00AC464B">
          <w:rPr>
            <w:rStyle w:val="Hipercze"/>
            <w:rFonts w:cs="Arial"/>
            <w:noProof/>
          </w:rPr>
          <w:t>3.1.14. Oś Priorytetowa 14. Integracja imigrantów</w:t>
        </w:r>
        <w:r w:rsidR="007172E8">
          <w:rPr>
            <w:noProof/>
            <w:webHidden/>
          </w:rPr>
          <w:tab/>
        </w:r>
        <w:r w:rsidR="007172E8">
          <w:rPr>
            <w:noProof/>
            <w:webHidden/>
          </w:rPr>
          <w:fldChar w:fldCharType="begin"/>
        </w:r>
        <w:r w:rsidR="007172E8">
          <w:rPr>
            <w:noProof/>
            <w:webHidden/>
          </w:rPr>
          <w:instrText xml:space="preserve"> PAGEREF _Toc214025264 \h </w:instrText>
        </w:r>
        <w:r w:rsidR="007172E8">
          <w:rPr>
            <w:noProof/>
            <w:webHidden/>
          </w:rPr>
        </w:r>
        <w:r w:rsidR="007172E8">
          <w:rPr>
            <w:noProof/>
            <w:webHidden/>
          </w:rPr>
          <w:fldChar w:fldCharType="separate"/>
        </w:r>
        <w:r w:rsidR="007172E8">
          <w:rPr>
            <w:noProof/>
            <w:webHidden/>
          </w:rPr>
          <w:t>21</w:t>
        </w:r>
        <w:r w:rsidR="007172E8">
          <w:rPr>
            <w:noProof/>
            <w:webHidden/>
          </w:rPr>
          <w:fldChar w:fldCharType="end"/>
        </w:r>
      </w:hyperlink>
    </w:p>
    <w:p w14:paraId="4D72BDE0" w14:textId="1C5DD8F0" w:rsidR="007172E8" w:rsidRDefault="008A043C">
      <w:pPr>
        <w:pStyle w:val="Spistreci2"/>
        <w:rPr>
          <w:rFonts w:asciiTheme="minorHAnsi" w:eastAsiaTheme="minorEastAsia" w:hAnsiTheme="minorHAnsi" w:cstheme="minorBidi"/>
          <w:bCs w:val="0"/>
          <w:iCs w:val="0"/>
          <w:sz w:val="22"/>
          <w:lang w:eastAsia="pl-PL"/>
        </w:rPr>
      </w:pPr>
      <w:hyperlink w:anchor="_Toc214025265" w:history="1">
        <w:r w:rsidR="007172E8" w:rsidRPr="00AC464B">
          <w:rPr>
            <w:rStyle w:val="Hipercze"/>
          </w:rPr>
          <w:t>3.2. Wspólne wskaźniki i wskaźniki specyficzne dla programu (art. 50 ust. 2 rozporządzenia ogólnego)</w:t>
        </w:r>
        <w:r w:rsidR="007172E8">
          <w:rPr>
            <w:webHidden/>
          </w:rPr>
          <w:tab/>
        </w:r>
        <w:r w:rsidR="007172E8">
          <w:rPr>
            <w:webHidden/>
          </w:rPr>
          <w:fldChar w:fldCharType="begin"/>
        </w:r>
        <w:r w:rsidR="007172E8">
          <w:rPr>
            <w:webHidden/>
          </w:rPr>
          <w:instrText xml:space="preserve"> PAGEREF _Toc214025265 \h </w:instrText>
        </w:r>
        <w:r w:rsidR="007172E8">
          <w:rPr>
            <w:webHidden/>
          </w:rPr>
        </w:r>
        <w:r w:rsidR="007172E8">
          <w:rPr>
            <w:webHidden/>
          </w:rPr>
          <w:fldChar w:fldCharType="separate"/>
        </w:r>
        <w:r w:rsidR="007172E8">
          <w:rPr>
            <w:webHidden/>
          </w:rPr>
          <w:t>22</w:t>
        </w:r>
        <w:r w:rsidR="007172E8">
          <w:rPr>
            <w:webHidden/>
          </w:rPr>
          <w:fldChar w:fldCharType="end"/>
        </w:r>
      </w:hyperlink>
    </w:p>
    <w:p w14:paraId="45EB19AF" w14:textId="773DD166" w:rsidR="007172E8" w:rsidRDefault="008A043C">
      <w:pPr>
        <w:pStyle w:val="Spistreci2"/>
        <w:rPr>
          <w:rFonts w:asciiTheme="minorHAnsi" w:eastAsiaTheme="minorEastAsia" w:hAnsiTheme="minorHAnsi" w:cstheme="minorBidi"/>
          <w:bCs w:val="0"/>
          <w:iCs w:val="0"/>
          <w:sz w:val="22"/>
          <w:lang w:eastAsia="pl-PL"/>
        </w:rPr>
      </w:pPr>
      <w:hyperlink w:anchor="_Toc214025266" w:history="1">
        <w:r w:rsidR="007172E8" w:rsidRPr="00AC464B">
          <w:rPr>
            <w:rStyle w:val="Hipercze"/>
          </w:rPr>
          <w:t>3.3. Cele pośrednie i końcowe określone w ramach wykonania (art. 50 ust. 2 rozporządzenia ogólnego) – przedkładane w rocznych sprawozdaniach z wdrażania począwszy od 2017 r.</w:t>
        </w:r>
        <w:r w:rsidR="007172E8">
          <w:rPr>
            <w:webHidden/>
          </w:rPr>
          <w:tab/>
        </w:r>
        <w:r w:rsidR="007172E8">
          <w:rPr>
            <w:webHidden/>
          </w:rPr>
          <w:fldChar w:fldCharType="begin"/>
        </w:r>
        <w:r w:rsidR="007172E8">
          <w:rPr>
            <w:webHidden/>
          </w:rPr>
          <w:instrText xml:space="preserve"> PAGEREF _Toc214025266 \h </w:instrText>
        </w:r>
        <w:r w:rsidR="007172E8">
          <w:rPr>
            <w:webHidden/>
          </w:rPr>
        </w:r>
        <w:r w:rsidR="007172E8">
          <w:rPr>
            <w:webHidden/>
          </w:rPr>
          <w:fldChar w:fldCharType="separate"/>
        </w:r>
        <w:r w:rsidR="007172E8">
          <w:rPr>
            <w:webHidden/>
          </w:rPr>
          <w:t>22</w:t>
        </w:r>
        <w:r w:rsidR="007172E8">
          <w:rPr>
            <w:webHidden/>
          </w:rPr>
          <w:fldChar w:fldCharType="end"/>
        </w:r>
      </w:hyperlink>
    </w:p>
    <w:p w14:paraId="67452A36" w14:textId="232BF62D" w:rsidR="007172E8" w:rsidRDefault="008A043C">
      <w:pPr>
        <w:pStyle w:val="Spistreci2"/>
        <w:rPr>
          <w:rFonts w:asciiTheme="minorHAnsi" w:eastAsiaTheme="minorEastAsia" w:hAnsiTheme="minorHAnsi" w:cstheme="minorBidi"/>
          <w:bCs w:val="0"/>
          <w:iCs w:val="0"/>
          <w:sz w:val="22"/>
          <w:lang w:eastAsia="pl-PL"/>
        </w:rPr>
      </w:pPr>
      <w:hyperlink w:anchor="_Toc214025267" w:history="1">
        <w:r w:rsidR="007172E8" w:rsidRPr="00AC464B">
          <w:rPr>
            <w:rStyle w:val="Hipercze"/>
          </w:rPr>
          <w:t>3.4. Dane finansowe (art. 50 ust. 2 rozporządzenia ogólnego)</w:t>
        </w:r>
        <w:r w:rsidR="007172E8">
          <w:rPr>
            <w:webHidden/>
          </w:rPr>
          <w:tab/>
        </w:r>
        <w:r w:rsidR="007172E8">
          <w:rPr>
            <w:webHidden/>
          </w:rPr>
          <w:fldChar w:fldCharType="begin"/>
        </w:r>
        <w:r w:rsidR="007172E8">
          <w:rPr>
            <w:webHidden/>
          </w:rPr>
          <w:instrText xml:space="preserve"> PAGEREF _Toc214025267 \h </w:instrText>
        </w:r>
        <w:r w:rsidR="007172E8">
          <w:rPr>
            <w:webHidden/>
          </w:rPr>
        </w:r>
        <w:r w:rsidR="007172E8">
          <w:rPr>
            <w:webHidden/>
          </w:rPr>
          <w:fldChar w:fldCharType="separate"/>
        </w:r>
        <w:r w:rsidR="007172E8">
          <w:rPr>
            <w:webHidden/>
          </w:rPr>
          <w:t>22</w:t>
        </w:r>
        <w:r w:rsidR="007172E8">
          <w:rPr>
            <w:webHidden/>
          </w:rPr>
          <w:fldChar w:fldCharType="end"/>
        </w:r>
      </w:hyperlink>
    </w:p>
    <w:p w14:paraId="63713913" w14:textId="0ACE9237" w:rsidR="007172E8" w:rsidRDefault="008A043C">
      <w:pPr>
        <w:pStyle w:val="Spistreci1"/>
        <w:rPr>
          <w:rFonts w:asciiTheme="minorHAnsi" w:eastAsiaTheme="minorEastAsia" w:hAnsiTheme="minorHAnsi" w:cstheme="minorBidi"/>
          <w:noProof/>
          <w:sz w:val="22"/>
          <w:lang w:eastAsia="pl-PL"/>
        </w:rPr>
      </w:pPr>
      <w:hyperlink w:anchor="_Toc214025268" w:history="1">
        <w:r w:rsidR="007172E8" w:rsidRPr="00AC464B">
          <w:rPr>
            <w:rStyle w:val="Hipercze"/>
            <w:rFonts w:cs="Arial"/>
            <w:noProof/>
          </w:rPr>
          <w:t>4. Podsumowanie przeprowadzonych ewaluacji (art. 50 ust. 2 rozporządzenia ogólnego)</w:t>
        </w:r>
        <w:r w:rsidR="007172E8">
          <w:rPr>
            <w:noProof/>
            <w:webHidden/>
          </w:rPr>
          <w:tab/>
        </w:r>
        <w:r w:rsidR="007172E8">
          <w:rPr>
            <w:noProof/>
            <w:webHidden/>
          </w:rPr>
          <w:fldChar w:fldCharType="begin"/>
        </w:r>
        <w:r w:rsidR="007172E8">
          <w:rPr>
            <w:noProof/>
            <w:webHidden/>
          </w:rPr>
          <w:instrText xml:space="preserve"> PAGEREF _Toc214025268 \h </w:instrText>
        </w:r>
        <w:r w:rsidR="007172E8">
          <w:rPr>
            <w:noProof/>
            <w:webHidden/>
          </w:rPr>
        </w:r>
        <w:r w:rsidR="007172E8">
          <w:rPr>
            <w:noProof/>
            <w:webHidden/>
          </w:rPr>
          <w:fldChar w:fldCharType="separate"/>
        </w:r>
        <w:r w:rsidR="007172E8">
          <w:rPr>
            <w:noProof/>
            <w:webHidden/>
          </w:rPr>
          <w:t>23</w:t>
        </w:r>
        <w:r w:rsidR="007172E8">
          <w:rPr>
            <w:noProof/>
            <w:webHidden/>
          </w:rPr>
          <w:fldChar w:fldCharType="end"/>
        </w:r>
      </w:hyperlink>
    </w:p>
    <w:p w14:paraId="09A7777B" w14:textId="2F50B03D" w:rsidR="007172E8" w:rsidRDefault="008A043C">
      <w:pPr>
        <w:pStyle w:val="Spistreci1"/>
        <w:rPr>
          <w:rFonts w:asciiTheme="minorHAnsi" w:eastAsiaTheme="minorEastAsia" w:hAnsiTheme="minorHAnsi" w:cstheme="minorBidi"/>
          <w:noProof/>
          <w:sz w:val="22"/>
          <w:lang w:eastAsia="pl-PL"/>
        </w:rPr>
      </w:pPr>
      <w:hyperlink w:anchor="_Toc214025269" w:history="1">
        <w:r w:rsidR="007172E8" w:rsidRPr="00AC464B">
          <w:rPr>
            <w:rStyle w:val="Hipercze"/>
            <w:rFonts w:cs="Arial"/>
            <w:noProof/>
          </w:rPr>
          <w:t>5. Informacje na temat wdrażania inicjatywy na rzecz zatrudnienia ludzi młodych, w stosownych przypadkach (art. 19 ust. 2 i 4 rozporządzenia (UE) nr 1304/2013)</w:t>
        </w:r>
        <w:r w:rsidR="007172E8">
          <w:rPr>
            <w:noProof/>
            <w:webHidden/>
          </w:rPr>
          <w:tab/>
        </w:r>
        <w:r w:rsidR="007172E8">
          <w:rPr>
            <w:noProof/>
            <w:webHidden/>
          </w:rPr>
          <w:fldChar w:fldCharType="begin"/>
        </w:r>
        <w:r w:rsidR="007172E8">
          <w:rPr>
            <w:noProof/>
            <w:webHidden/>
          </w:rPr>
          <w:instrText xml:space="preserve"> PAGEREF _Toc214025269 \h </w:instrText>
        </w:r>
        <w:r w:rsidR="007172E8">
          <w:rPr>
            <w:noProof/>
            <w:webHidden/>
          </w:rPr>
        </w:r>
        <w:r w:rsidR="007172E8">
          <w:rPr>
            <w:noProof/>
            <w:webHidden/>
          </w:rPr>
          <w:fldChar w:fldCharType="separate"/>
        </w:r>
        <w:r w:rsidR="007172E8">
          <w:rPr>
            <w:noProof/>
            <w:webHidden/>
          </w:rPr>
          <w:t>27</w:t>
        </w:r>
        <w:r w:rsidR="007172E8">
          <w:rPr>
            <w:noProof/>
            <w:webHidden/>
          </w:rPr>
          <w:fldChar w:fldCharType="end"/>
        </w:r>
      </w:hyperlink>
    </w:p>
    <w:p w14:paraId="789F5A89" w14:textId="6927119D" w:rsidR="007172E8" w:rsidRDefault="008A043C">
      <w:pPr>
        <w:pStyle w:val="Spistreci1"/>
        <w:rPr>
          <w:rFonts w:asciiTheme="minorHAnsi" w:eastAsiaTheme="minorEastAsia" w:hAnsiTheme="minorHAnsi" w:cstheme="minorBidi"/>
          <w:noProof/>
          <w:sz w:val="22"/>
          <w:lang w:eastAsia="pl-PL"/>
        </w:rPr>
      </w:pPr>
      <w:hyperlink w:anchor="_Toc214025270" w:history="1">
        <w:r w:rsidR="007172E8" w:rsidRPr="00AC464B">
          <w:rPr>
            <w:rStyle w:val="Hipercze"/>
            <w:rFonts w:cs="Arial"/>
            <w:noProof/>
          </w:rPr>
          <w:t>6. Kwestie mające wpływ na wykonanie programu i podjęte działania (art. 50 ust.2 rozporządzenia ogólnego)</w:t>
        </w:r>
        <w:r w:rsidR="007172E8">
          <w:rPr>
            <w:noProof/>
            <w:webHidden/>
          </w:rPr>
          <w:tab/>
        </w:r>
        <w:r w:rsidR="007172E8">
          <w:rPr>
            <w:noProof/>
            <w:webHidden/>
          </w:rPr>
          <w:fldChar w:fldCharType="begin"/>
        </w:r>
        <w:r w:rsidR="007172E8">
          <w:rPr>
            <w:noProof/>
            <w:webHidden/>
          </w:rPr>
          <w:instrText xml:space="preserve"> PAGEREF _Toc214025270 \h </w:instrText>
        </w:r>
        <w:r w:rsidR="007172E8">
          <w:rPr>
            <w:noProof/>
            <w:webHidden/>
          </w:rPr>
        </w:r>
        <w:r w:rsidR="007172E8">
          <w:rPr>
            <w:noProof/>
            <w:webHidden/>
          </w:rPr>
          <w:fldChar w:fldCharType="separate"/>
        </w:r>
        <w:r w:rsidR="007172E8">
          <w:rPr>
            <w:noProof/>
            <w:webHidden/>
          </w:rPr>
          <w:t>27</w:t>
        </w:r>
        <w:r w:rsidR="007172E8">
          <w:rPr>
            <w:noProof/>
            <w:webHidden/>
          </w:rPr>
          <w:fldChar w:fldCharType="end"/>
        </w:r>
      </w:hyperlink>
    </w:p>
    <w:p w14:paraId="14612419" w14:textId="57D6C1B8" w:rsidR="007172E8" w:rsidRDefault="008A043C">
      <w:pPr>
        <w:pStyle w:val="Spistreci2"/>
        <w:rPr>
          <w:rFonts w:asciiTheme="minorHAnsi" w:eastAsiaTheme="minorEastAsia" w:hAnsiTheme="minorHAnsi" w:cstheme="minorBidi"/>
          <w:bCs w:val="0"/>
          <w:iCs w:val="0"/>
          <w:sz w:val="22"/>
          <w:lang w:eastAsia="pl-PL"/>
        </w:rPr>
      </w:pPr>
      <w:hyperlink w:anchor="_Toc214025271" w:history="1">
        <w:r w:rsidR="007172E8" w:rsidRPr="00AC464B">
          <w:rPr>
            <w:rStyle w:val="Hipercze"/>
          </w:rPr>
          <w:t>a) Kwestie mające wpływ na wykonanie programu i podjęte działania</w:t>
        </w:r>
        <w:r w:rsidR="007172E8">
          <w:rPr>
            <w:webHidden/>
          </w:rPr>
          <w:tab/>
        </w:r>
        <w:r w:rsidR="007172E8">
          <w:rPr>
            <w:webHidden/>
          </w:rPr>
          <w:fldChar w:fldCharType="begin"/>
        </w:r>
        <w:r w:rsidR="007172E8">
          <w:rPr>
            <w:webHidden/>
          </w:rPr>
          <w:instrText xml:space="preserve"> PAGEREF _Toc214025271 \h </w:instrText>
        </w:r>
        <w:r w:rsidR="007172E8">
          <w:rPr>
            <w:webHidden/>
          </w:rPr>
        </w:r>
        <w:r w:rsidR="007172E8">
          <w:rPr>
            <w:webHidden/>
          </w:rPr>
          <w:fldChar w:fldCharType="separate"/>
        </w:r>
        <w:r w:rsidR="007172E8">
          <w:rPr>
            <w:webHidden/>
          </w:rPr>
          <w:t>27</w:t>
        </w:r>
        <w:r w:rsidR="007172E8">
          <w:rPr>
            <w:webHidden/>
          </w:rPr>
          <w:fldChar w:fldCharType="end"/>
        </w:r>
      </w:hyperlink>
    </w:p>
    <w:p w14:paraId="6DB27CF7" w14:textId="166E2C23" w:rsidR="007172E8" w:rsidRDefault="008A043C">
      <w:pPr>
        <w:pStyle w:val="Spistreci2"/>
        <w:rPr>
          <w:rFonts w:asciiTheme="minorHAnsi" w:eastAsiaTheme="minorEastAsia" w:hAnsiTheme="minorHAnsi" w:cstheme="minorBidi"/>
          <w:bCs w:val="0"/>
          <w:iCs w:val="0"/>
          <w:sz w:val="22"/>
          <w:lang w:eastAsia="pl-PL"/>
        </w:rPr>
      </w:pPr>
      <w:hyperlink w:anchor="_Toc214025272" w:history="1">
        <w:r w:rsidR="007172E8" w:rsidRPr="00AC464B">
          <w:rPr>
            <w:rStyle w:val="Hipercze"/>
          </w:rPr>
          <w:t>b) Ocena, czy postępy poczynione w zakresie celów pośrednich są wystarczające, aby zapewnić ich realizację, wskazanie wszelkich podjętych lub planowanych działań naprawczych (w stosownych przypadkach).</w:t>
        </w:r>
        <w:r w:rsidR="007172E8">
          <w:rPr>
            <w:webHidden/>
          </w:rPr>
          <w:tab/>
        </w:r>
        <w:r w:rsidR="007172E8">
          <w:rPr>
            <w:webHidden/>
          </w:rPr>
          <w:fldChar w:fldCharType="begin"/>
        </w:r>
        <w:r w:rsidR="007172E8">
          <w:rPr>
            <w:webHidden/>
          </w:rPr>
          <w:instrText xml:space="preserve"> PAGEREF _Toc214025272 \h </w:instrText>
        </w:r>
        <w:r w:rsidR="007172E8">
          <w:rPr>
            <w:webHidden/>
          </w:rPr>
        </w:r>
        <w:r w:rsidR="007172E8">
          <w:rPr>
            <w:webHidden/>
          </w:rPr>
          <w:fldChar w:fldCharType="separate"/>
        </w:r>
        <w:r w:rsidR="007172E8">
          <w:rPr>
            <w:webHidden/>
          </w:rPr>
          <w:t>30</w:t>
        </w:r>
        <w:r w:rsidR="007172E8">
          <w:rPr>
            <w:webHidden/>
          </w:rPr>
          <w:fldChar w:fldCharType="end"/>
        </w:r>
      </w:hyperlink>
    </w:p>
    <w:p w14:paraId="7370FE2C" w14:textId="05BF80AE" w:rsidR="007172E8" w:rsidRDefault="008A043C">
      <w:pPr>
        <w:pStyle w:val="Spistreci1"/>
        <w:rPr>
          <w:rFonts w:asciiTheme="minorHAnsi" w:eastAsiaTheme="minorEastAsia" w:hAnsiTheme="minorHAnsi" w:cstheme="minorBidi"/>
          <w:noProof/>
          <w:sz w:val="22"/>
          <w:lang w:eastAsia="pl-PL"/>
        </w:rPr>
      </w:pPr>
      <w:hyperlink w:anchor="_Toc214025273" w:history="1">
        <w:r w:rsidR="007172E8" w:rsidRPr="00AC464B">
          <w:rPr>
            <w:rStyle w:val="Hipercze"/>
            <w:rFonts w:cs="Arial"/>
            <w:noProof/>
          </w:rPr>
          <w:t>7. Streszczenie podawane do wiadomości publicznej (art. 50 ust. 9 rozporządzenia ogólnego)</w:t>
        </w:r>
        <w:r w:rsidR="007172E8">
          <w:rPr>
            <w:noProof/>
            <w:webHidden/>
          </w:rPr>
          <w:tab/>
        </w:r>
        <w:r w:rsidR="007172E8">
          <w:rPr>
            <w:noProof/>
            <w:webHidden/>
          </w:rPr>
          <w:fldChar w:fldCharType="begin"/>
        </w:r>
        <w:r w:rsidR="007172E8">
          <w:rPr>
            <w:noProof/>
            <w:webHidden/>
          </w:rPr>
          <w:instrText xml:space="preserve"> PAGEREF _Toc214025273 \h </w:instrText>
        </w:r>
        <w:r w:rsidR="007172E8">
          <w:rPr>
            <w:noProof/>
            <w:webHidden/>
          </w:rPr>
        </w:r>
        <w:r w:rsidR="007172E8">
          <w:rPr>
            <w:noProof/>
            <w:webHidden/>
          </w:rPr>
          <w:fldChar w:fldCharType="separate"/>
        </w:r>
        <w:r w:rsidR="007172E8">
          <w:rPr>
            <w:noProof/>
            <w:webHidden/>
          </w:rPr>
          <w:t>30</w:t>
        </w:r>
        <w:r w:rsidR="007172E8">
          <w:rPr>
            <w:noProof/>
            <w:webHidden/>
          </w:rPr>
          <w:fldChar w:fldCharType="end"/>
        </w:r>
      </w:hyperlink>
    </w:p>
    <w:p w14:paraId="50D3D44C" w14:textId="0D8AD560" w:rsidR="007172E8" w:rsidRDefault="008A043C">
      <w:pPr>
        <w:pStyle w:val="Spistreci1"/>
        <w:rPr>
          <w:rFonts w:asciiTheme="minorHAnsi" w:eastAsiaTheme="minorEastAsia" w:hAnsiTheme="minorHAnsi" w:cstheme="minorBidi"/>
          <w:noProof/>
          <w:sz w:val="22"/>
          <w:lang w:eastAsia="pl-PL"/>
        </w:rPr>
      </w:pPr>
      <w:hyperlink w:anchor="_Toc214025274" w:history="1">
        <w:r w:rsidR="007172E8" w:rsidRPr="00AC464B">
          <w:rPr>
            <w:rStyle w:val="Hipercze"/>
            <w:rFonts w:cs="Arial"/>
            <w:noProof/>
          </w:rPr>
          <w:t>8. Sprawozdanie z wdrażania instrumentów finansowych (art. 46 rozporządzenia ogólnego)</w:t>
        </w:r>
        <w:r w:rsidR="007172E8">
          <w:rPr>
            <w:noProof/>
            <w:webHidden/>
          </w:rPr>
          <w:tab/>
        </w:r>
        <w:r w:rsidR="007172E8">
          <w:rPr>
            <w:noProof/>
            <w:webHidden/>
          </w:rPr>
          <w:fldChar w:fldCharType="begin"/>
        </w:r>
        <w:r w:rsidR="007172E8">
          <w:rPr>
            <w:noProof/>
            <w:webHidden/>
          </w:rPr>
          <w:instrText xml:space="preserve"> PAGEREF _Toc214025274 \h </w:instrText>
        </w:r>
        <w:r w:rsidR="007172E8">
          <w:rPr>
            <w:noProof/>
            <w:webHidden/>
          </w:rPr>
        </w:r>
        <w:r w:rsidR="007172E8">
          <w:rPr>
            <w:noProof/>
            <w:webHidden/>
          </w:rPr>
          <w:fldChar w:fldCharType="separate"/>
        </w:r>
        <w:r w:rsidR="007172E8">
          <w:rPr>
            <w:noProof/>
            <w:webHidden/>
          </w:rPr>
          <w:t>30</w:t>
        </w:r>
        <w:r w:rsidR="007172E8">
          <w:rPr>
            <w:noProof/>
            <w:webHidden/>
          </w:rPr>
          <w:fldChar w:fldCharType="end"/>
        </w:r>
      </w:hyperlink>
    </w:p>
    <w:p w14:paraId="69843A41" w14:textId="21FEA06B" w:rsidR="007172E8" w:rsidRDefault="008A043C">
      <w:pPr>
        <w:pStyle w:val="Spistreci1"/>
        <w:rPr>
          <w:rFonts w:asciiTheme="minorHAnsi" w:eastAsiaTheme="minorEastAsia" w:hAnsiTheme="minorHAnsi" w:cstheme="minorBidi"/>
          <w:noProof/>
          <w:sz w:val="22"/>
          <w:lang w:eastAsia="pl-PL"/>
        </w:rPr>
      </w:pPr>
      <w:hyperlink w:anchor="_Toc214025275" w:history="1">
        <w:r w:rsidR="007172E8" w:rsidRPr="00AC464B">
          <w:rPr>
            <w:rStyle w:val="Hipercze"/>
            <w:rFonts w:cs="Arial"/>
            <w:noProof/>
          </w:rPr>
          <w:t>9. Działania podjęte w celu spełnienia warunków wstępnych (art. 50 ust. 2 i 4 rozporządzenia ogólnego), w przypadku gdy mające zastosowanie warunki wstępne nie zostały spełnione w momencie przyjmowania PO</w:t>
        </w:r>
        <w:r w:rsidR="007172E8">
          <w:rPr>
            <w:noProof/>
            <w:webHidden/>
          </w:rPr>
          <w:tab/>
        </w:r>
        <w:r w:rsidR="007172E8">
          <w:rPr>
            <w:noProof/>
            <w:webHidden/>
          </w:rPr>
          <w:fldChar w:fldCharType="begin"/>
        </w:r>
        <w:r w:rsidR="007172E8">
          <w:rPr>
            <w:noProof/>
            <w:webHidden/>
          </w:rPr>
          <w:instrText xml:space="preserve"> PAGEREF _Toc214025275 \h </w:instrText>
        </w:r>
        <w:r w:rsidR="007172E8">
          <w:rPr>
            <w:noProof/>
            <w:webHidden/>
          </w:rPr>
        </w:r>
        <w:r w:rsidR="007172E8">
          <w:rPr>
            <w:noProof/>
            <w:webHidden/>
          </w:rPr>
          <w:fldChar w:fldCharType="separate"/>
        </w:r>
        <w:r w:rsidR="007172E8">
          <w:rPr>
            <w:noProof/>
            <w:webHidden/>
          </w:rPr>
          <w:t>30</w:t>
        </w:r>
        <w:r w:rsidR="007172E8">
          <w:rPr>
            <w:noProof/>
            <w:webHidden/>
          </w:rPr>
          <w:fldChar w:fldCharType="end"/>
        </w:r>
      </w:hyperlink>
    </w:p>
    <w:p w14:paraId="10BBB6DE" w14:textId="28527582" w:rsidR="007172E8" w:rsidRDefault="008A043C">
      <w:pPr>
        <w:pStyle w:val="Spistreci1"/>
        <w:rPr>
          <w:rFonts w:asciiTheme="minorHAnsi" w:eastAsiaTheme="minorEastAsia" w:hAnsiTheme="minorHAnsi" w:cstheme="minorBidi"/>
          <w:noProof/>
          <w:sz w:val="22"/>
          <w:lang w:eastAsia="pl-PL"/>
        </w:rPr>
      </w:pPr>
      <w:hyperlink w:anchor="_Toc214025276" w:history="1">
        <w:r w:rsidR="007172E8" w:rsidRPr="00AC464B">
          <w:rPr>
            <w:rStyle w:val="Hipercze"/>
            <w:rFonts w:cs="Arial"/>
            <w:noProof/>
          </w:rPr>
          <w:t>10. Postępy w przygotowaniu i wdrażanie dużych projektów i wspólnych planów działania (art. 101 lit. h) i art. 111 ust. 3 rozporządzenia ogólnego)</w:t>
        </w:r>
        <w:r w:rsidR="007172E8">
          <w:rPr>
            <w:noProof/>
            <w:webHidden/>
          </w:rPr>
          <w:tab/>
        </w:r>
        <w:r w:rsidR="007172E8">
          <w:rPr>
            <w:noProof/>
            <w:webHidden/>
          </w:rPr>
          <w:fldChar w:fldCharType="begin"/>
        </w:r>
        <w:r w:rsidR="007172E8">
          <w:rPr>
            <w:noProof/>
            <w:webHidden/>
          </w:rPr>
          <w:instrText xml:space="preserve"> PAGEREF _Toc214025276 \h </w:instrText>
        </w:r>
        <w:r w:rsidR="007172E8">
          <w:rPr>
            <w:noProof/>
            <w:webHidden/>
          </w:rPr>
        </w:r>
        <w:r w:rsidR="007172E8">
          <w:rPr>
            <w:noProof/>
            <w:webHidden/>
          </w:rPr>
          <w:fldChar w:fldCharType="separate"/>
        </w:r>
        <w:r w:rsidR="007172E8">
          <w:rPr>
            <w:noProof/>
            <w:webHidden/>
          </w:rPr>
          <w:t>30</w:t>
        </w:r>
        <w:r w:rsidR="007172E8">
          <w:rPr>
            <w:noProof/>
            <w:webHidden/>
          </w:rPr>
          <w:fldChar w:fldCharType="end"/>
        </w:r>
      </w:hyperlink>
    </w:p>
    <w:p w14:paraId="0C6321AB" w14:textId="570029E5" w:rsidR="007172E8" w:rsidRDefault="008A043C">
      <w:pPr>
        <w:pStyle w:val="Spistreci2"/>
        <w:rPr>
          <w:rFonts w:asciiTheme="minorHAnsi" w:eastAsiaTheme="minorEastAsia" w:hAnsiTheme="minorHAnsi" w:cstheme="minorBidi"/>
          <w:bCs w:val="0"/>
          <w:iCs w:val="0"/>
          <w:sz w:val="22"/>
          <w:lang w:eastAsia="pl-PL"/>
        </w:rPr>
      </w:pPr>
      <w:hyperlink w:anchor="_Toc214025277" w:history="1">
        <w:r w:rsidR="007172E8" w:rsidRPr="00AC464B">
          <w:rPr>
            <w:rStyle w:val="Hipercze"/>
          </w:rPr>
          <w:t>10.1. Duże projekty</w:t>
        </w:r>
        <w:r w:rsidR="007172E8">
          <w:rPr>
            <w:webHidden/>
          </w:rPr>
          <w:tab/>
        </w:r>
        <w:r w:rsidR="007172E8">
          <w:rPr>
            <w:webHidden/>
          </w:rPr>
          <w:fldChar w:fldCharType="begin"/>
        </w:r>
        <w:r w:rsidR="007172E8">
          <w:rPr>
            <w:webHidden/>
          </w:rPr>
          <w:instrText xml:space="preserve"> PAGEREF _Toc214025277 \h </w:instrText>
        </w:r>
        <w:r w:rsidR="007172E8">
          <w:rPr>
            <w:webHidden/>
          </w:rPr>
        </w:r>
        <w:r w:rsidR="007172E8">
          <w:rPr>
            <w:webHidden/>
          </w:rPr>
          <w:fldChar w:fldCharType="separate"/>
        </w:r>
        <w:r w:rsidR="007172E8">
          <w:rPr>
            <w:webHidden/>
          </w:rPr>
          <w:t>30</w:t>
        </w:r>
        <w:r w:rsidR="007172E8">
          <w:rPr>
            <w:webHidden/>
          </w:rPr>
          <w:fldChar w:fldCharType="end"/>
        </w:r>
      </w:hyperlink>
    </w:p>
    <w:p w14:paraId="520F4761" w14:textId="3B92A93A" w:rsidR="007172E8" w:rsidRDefault="008A043C">
      <w:pPr>
        <w:pStyle w:val="Spistreci2"/>
        <w:rPr>
          <w:rFonts w:asciiTheme="minorHAnsi" w:eastAsiaTheme="minorEastAsia" w:hAnsiTheme="minorHAnsi" w:cstheme="minorBidi"/>
          <w:bCs w:val="0"/>
          <w:iCs w:val="0"/>
          <w:sz w:val="22"/>
          <w:lang w:eastAsia="pl-PL"/>
        </w:rPr>
      </w:pPr>
      <w:hyperlink w:anchor="_Toc214025278" w:history="1">
        <w:r w:rsidR="007172E8" w:rsidRPr="00AC464B">
          <w:rPr>
            <w:rStyle w:val="Hipercze"/>
          </w:rPr>
          <w:t>10.2. Wspólne plany działania</w:t>
        </w:r>
        <w:r w:rsidR="007172E8">
          <w:rPr>
            <w:webHidden/>
          </w:rPr>
          <w:tab/>
        </w:r>
        <w:r w:rsidR="007172E8">
          <w:rPr>
            <w:webHidden/>
          </w:rPr>
          <w:fldChar w:fldCharType="begin"/>
        </w:r>
        <w:r w:rsidR="007172E8">
          <w:rPr>
            <w:webHidden/>
          </w:rPr>
          <w:instrText xml:space="preserve"> PAGEREF _Toc214025278 \h </w:instrText>
        </w:r>
        <w:r w:rsidR="007172E8">
          <w:rPr>
            <w:webHidden/>
          </w:rPr>
        </w:r>
        <w:r w:rsidR="007172E8">
          <w:rPr>
            <w:webHidden/>
          </w:rPr>
          <w:fldChar w:fldCharType="separate"/>
        </w:r>
        <w:r w:rsidR="007172E8">
          <w:rPr>
            <w:webHidden/>
          </w:rPr>
          <w:t>31</w:t>
        </w:r>
        <w:r w:rsidR="007172E8">
          <w:rPr>
            <w:webHidden/>
          </w:rPr>
          <w:fldChar w:fldCharType="end"/>
        </w:r>
      </w:hyperlink>
    </w:p>
    <w:p w14:paraId="2F323F2A" w14:textId="1DD71662" w:rsidR="007172E8" w:rsidRDefault="008A043C">
      <w:pPr>
        <w:pStyle w:val="Spistreci1"/>
        <w:rPr>
          <w:rFonts w:asciiTheme="minorHAnsi" w:eastAsiaTheme="minorEastAsia" w:hAnsiTheme="minorHAnsi" w:cstheme="minorBidi"/>
          <w:noProof/>
          <w:sz w:val="22"/>
          <w:lang w:eastAsia="pl-PL"/>
        </w:rPr>
      </w:pPr>
      <w:hyperlink w:anchor="_Toc214025279" w:history="1">
        <w:r w:rsidR="007172E8" w:rsidRPr="00AC464B">
          <w:rPr>
            <w:rStyle w:val="Hipercze"/>
            <w:rFonts w:cs="Arial"/>
            <w:noProof/>
          </w:rPr>
          <w:t>11. Ocena wdrażania programu operacyjnego (art. 50 ust. 4 i art. 111 ust. 4 rozporządzenia ogólnego)</w:t>
        </w:r>
        <w:r w:rsidR="007172E8">
          <w:rPr>
            <w:noProof/>
            <w:webHidden/>
          </w:rPr>
          <w:tab/>
        </w:r>
        <w:r w:rsidR="007172E8">
          <w:rPr>
            <w:noProof/>
            <w:webHidden/>
          </w:rPr>
          <w:fldChar w:fldCharType="begin"/>
        </w:r>
        <w:r w:rsidR="007172E8">
          <w:rPr>
            <w:noProof/>
            <w:webHidden/>
          </w:rPr>
          <w:instrText xml:space="preserve"> PAGEREF _Toc214025279 \h </w:instrText>
        </w:r>
        <w:r w:rsidR="007172E8">
          <w:rPr>
            <w:noProof/>
            <w:webHidden/>
          </w:rPr>
        </w:r>
        <w:r w:rsidR="007172E8">
          <w:rPr>
            <w:noProof/>
            <w:webHidden/>
          </w:rPr>
          <w:fldChar w:fldCharType="separate"/>
        </w:r>
        <w:r w:rsidR="007172E8">
          <w:rPr>
            <w:noProof/>
            <w:webHidden/>
          </w:rPr>
          <w:t>31</w:t>
        </w:r>
        <w:r w:rsidR="007172E8">
          <w:rPr>
            <w:noProof/>
            <w:webHidden/>
          </w:rPr>
          <w:fldChar w:fldCharType="end"/>
        </w:r>
      </w:hyperlink>
    </w:p>
    <w:p w14:paraId="35ADE974" w14:textId="13388118" w:rsidR="007172E8" w:rsidRDefault="008A043C">
      <w:pPr>
        <w:pStyle w:val="Spistreci2"/>
        <w:rPr>
          <w:rFonts w:asciiTheme="minorHAnsi" w:eastAsiaTheme="minorEastAsia" w:hAnsiTheme="minorHAnsi" w:cstheme="minorBidi"/>
          <w:bCs w:val="0"/>
          <w:iCs w:val="0"/>
          <w:sz w:val="22"/>
          <w:lang w:eastAsia="pl-PL"/>
        </w:rPr>
      </w:pPr>
      <w:hyperlink w:anchor="_Toc214025280" w:history="1">
        <w:r w:rsidR="007172E8" w:rsidRPr="00AC464B">
          <w:rPr>
            <w:rStyle w:val="Hipercze"/>
          </w:rPr>
          <w:t>11.1. Informacje zawarte w części A i realizacja celów programu (art. 50 ust. 4 rozporządzenia ogólnego)</w:t>
        </w:r>
        <w:r w:rsidR="007172E8">
          <w:rPr>
            <w:webHidden/>
          </w:rPr>
          <w:tab/>
        </w:r>
        <w:r w:rsidR="007172E8">
          <w:rPr>
            <w:webHidden/>
          </w:rPr>
          <w:fldChar w:fldCharType="begin"/>
        </w:r>
        <w:r w:rsidR="007172E8">
          <w:rPr>
            <w:webHidden/>
          </w:rPr>
          <w:instrText xml:space="preserve"> PAGEREF _Toc214025280 \h </w:instrText>
        </w:r>
        <w:r w:rsidR="007172E8">
          <w:rPr>
            <w:webHidden/>
          </w:rPr>
        </w:r>
        <w:r w:rsidR="007172E8">
          <w:rPr>
            <w:webHidden/>
          </w:rPr>
          <w:fldChar w:fldCharType="separate"/>
        </w:r>
        <w:r w:rsidR="007172E8">
          <w:rPr>
            <w:webHidden/>
          </w:rPr>
          <w:t>31</w:t>
        </w:r>
        <w:r w:rsidR="007172E8">
          <w:rPr>
            <w:webHidden/>
          </w:rPr>
          <w:fldChar w:fldCharType="end"/>
        </w:r>
      </w:hyperlink>
    </w:p>
    <w:p w14:paraId="6BE1CDA5" w14:textId="7362F241" w:rsidR="007172E8" w:rsidRDefault="008A043C">
      <w:pPr>
        <w:pStyle w:val="Spistreci2"/>
        <w:rPr>
          <w:rFonts w:asciiTheme="minorHAnsi" w:eastAsiaTheme="minorEastAsia" w:hAnsiTheme="minorHAnsi" w:cstheme="minorBidi"/>
          <w:bCs w:val="0"/>
          <w:iCs w:val="0"/>
          <w:sz w:val="22"/>
          <w:lang w:eastAsia="pl-PL"/>
        </w:rPr>
      </w:pPr>
      <w:hyperlink w:anchor="_Toc214025281" w:history="1">
        <w:r w:rsidR="007172E8" w:rsidRPr="00AC464B">
          <w:rPr>
            <w:rStyle w:val="Hipercze"/>
          </w:rPr>
          <w:t>OP1. KOMERCJALIZACJA WIEDZY</w:t>
        </w:r>
        <w:r w:rsidR="007172E8">
          <w:rPr>
            <w:webHidden/>
          </w:rPr>
          <w:tab/>
        </w:r>
        <w:r w:rsidR="007172E8">
          <w:rPr>
            <w:webHidden/>
          </w:rPr>
          <w:fldChar w:fldCharType="begin"/>
        </w:r>
        <w:r w:rsidR="007172E8">
          <w:rPr>
            <w:webHidden/>
          </w:rPr>
          <w:instrText xml:space="preserve"> PAGEREF _Toc214025281 \h </w:instrText>
        </w:r>
        <w:r w:rsidR="007172E8">
          <w:rPr>
            <w:webHidden/>
          </w:rPr>
        </w:r>
        <w:r w:rsidR="007172E8">
          <w:rPr>
            <w:webHidden/>
          </w:rPr>
          <w:fldChar w:fldCharType="separate"/>
        </w:r>
        <w:r w:rsidR="007172E8">
          <w:rPr>
            <w:webHidden/>
          </w:rPr>
          <w:t>31</w:t>
        </w:r>
        <w:r w:rsidR="007172E8">
          <w:rPr>
            <w:webHidden/>
          </w:rPr>
          <w:fldChar w:fldCharType="end"/>
        </w:r>
      </w:hyperlink>
    </w:p>
    <w:p w14:paraId="509B3039" w14:textId="2D75DECF" w:rsidR="007172E8" w:rsidRDefault="008A043C">
      <w:pPr>
        <w:pStyle w:val="Spistreci2"/>
        <w:rPr>
          <w:rFonts w:asciiTheme="minorHAnsi" w:eastAsiaTheme="minorEastAsia" w:hAnsiTheme="minorHAnsi" w:cstheme="minorBidi"/>
          <w:bCs w:val="0"/>
          <w:iCs w:val="0"/>
          <w:sz w:val="22"/>
          <w:lang w:eastAsia="pl-PL"/>
        </w:rPr>
      </w:pPr>
      <w:hyperlink w:anchor="_Toc214025282" w:history="1">
        <w:r w:rsidR="007172E8" w:rsidRPr="00AC464B">
          <w:rPr>
            <w:rStyle w:val="Hipercze"/>
            <w:lang w:eastAsia="pl-PL"/>
          </w:rPr>
          <w:t>OP2. PRZEDSIĘBIORSTWA</w:t>
        </w:r>
        <w:r w:rsidR="007172E8">
          <w:rPr>
            <w:webHidden/>
          </w:rPr>
          <w:tab/>
        </w:r>
        <w:r w:rsidR="007172E8">
          <w:rPr>
            <w:webHidden/>
          </w:rPr>
          <w:fldChar w:fldCharType="begin"/>
        </w:r>
        <w:r w:rsidR="007172E8">
          <w:rPr>
            <w:webHidden/>
          </w:rPr>
          <w:instrText xml:space="preserve"> PAGEREF _Toc214025282 \h </w:instrText>
        </w:r>
        <w:r w:rsidR="007172E8">
          <w:rPr>
            <w:webHidden/>
          </w:rPr>
        </w:r>
        <w:r w:rsidR="007172E8">
          <w:rPr>
            <w:webHidden/>
          </w:rPr>
          <w:fldChar w:fldCharType="separate"/>
        </w:r>
        <w:r w:rsidR="007172E8">
          <w:rPr>
            <w:webHidden/>
          </w:rPr>
          <w:t>34</w:t>
        </w:r>
        <w:r w:rsidR="007172E8">
          <w:rPr>
            <w:webHidden/>
          </w:rPr>
          <w:fldChar w:fldCharType="end"/>
        </w:r>
      </w:hyperlink>
    </w:p>
    <w:p w14:paraId="6C95C928" w14:textId="52575712" w:rsidR="007172E8" w:rsidRDefault="008A043C">
      <w:pPr>
        <w:pStyle w:val="Spistreci2"/>
        <w:rPr>
          <w:rFonts w:asciiTheme="minorHAnsi" w:eastAsiaTheme="minorEastAsia" w:hAnsiTheme="minorHAnsi" w:cstheme="minorBidi"/>
          <w:bCs w:val="0"/>
          <w:iCs w:val="0"/>
          <w:sz w:val="22"/>
          <w:lang w:eastAsia="pl-PL"/>
        </w:rPr>
      </w:pPr>
      <w:hyperlink w:anchor="_Toc214025283" w:history="1">
        <w:r w:rsidR="007172E8" w:rsidRPr="00AC464B">
          <w:rPr>
            <w:rStyle w:val="Hipercze"/>
          </w:rPr>
          <w:t>OP3. EDUKACJA</w:t>
        </w:r>
        <w:r w:rsidR="007172E8">
          <w:rPr>
            <w:webHidden/>
          </w:rPr>
          <w:tab/>
        </w:r>
        <w:r w:rsidR="007172E8">
          <w:rPr>
            <w:webHidden/>
          </w:rPr>
          <w:fldChar w:fldCharType="begin"/>
        </w:r>
        <w:r w:rsidR="007172E8">
          <w:rPr>
            <w:webHidden/>
          </w:rPr>
          <w:instrText xml:space="preserve"> PAGEREF _Toc214025283 \h </w:instrText>
        </w:r>
        <w:r w:rsidR="007172E8">
          <w:rPr>
            <w:webHidden/>
          </w:rPr>
        </w:r>
        <w:r w:rsidR="007172E8">
          <w:rPr>
            <w:webHidden/>
          </w:rPr>
          <w:fldChar w:fldCharType="separate"/>
        </w:r>
        <w:r w:rsidR="007172E8">
          <w:rPr>
            <w:webHidden/>
          </w:rPr>
          <w:t>37</w:t>
        </w:r>
        <w:r w:rsidR="007172E8">
          <w:rPr>
            <w:webHidden/>
          </w:rPr>
          <w:fldChar w:fldCharType="end"/>
        </w:r>
      </w:hyperlink>
    </w:p>
    <w:p w14:paraId="4952E430" w14:textId="407E42F7" w:rsidR="007172E8" w:rsidRDefault="008A043C">
      <w:pPr>
        <w:pStyle w:val="Spistreci2"/>
        <w:rPr>
          <w:rFonts w:asciiTheme="minorHAnsi" w:eastAsiaTheme="minorEastAsia" w:hAnsiTheme="minorHAnsi" w:cstheme="minorBidi"/>
          <w:bCs w:val="0"/>
          <w:iCs w:val="0"/>
          <w:sz w:val="22"/>
          <w:lang w:eastAsia="pl-PL"/>
        </w:rPr>
      </w:pPr>
      <w:hyperlink w:anchor="_Toc214025284" w:history="1">
        <w:r w:rsidR="007172E8" w:rsidRPr="00AC464B">
          <w:rPr>
            <w:rStyle w:val="Hipercze"/>
            <w:lang w:eastAsia="pl-PL"/>
          </w:rPr>
          <w:t>OP4. KSZTAŁCENIE ZAWODOWE</w:t>
        </w:r>
        <w:r w:rsidR="007172E8">
          <w:rPr>
            <w:webHidden/>
          </w:rPr>
          <w:tab/>
        </w:r>
        <w:r w:rsidR="007172E8">
          <w:rPr>
            <w:webHidden/>
          </w:rPr>
          <w:fldChar w:fldCharType="begin"/>
        </w:r>
        <w:r w:rsidR="007172E8">
          <w:rPr>
            <w:webHidden/>
          </w:rPr>
          <w:instrText xml:space="preserve"> PAGEREF _Toc214025284 \h </w:instrText>
        </w:r>
        <w:r w:rsidR="007172E8">
          <w:rPr>
            <w:webHidden/>
          </w:rPr>
        </w:r>
        <w:r w:rsidR="007172E8">
          <w:rPr>
            <w:webHidden/>
          </w:rPr>
          <w:fldChar w:fldCharType="separate"/>
        </w:r>
        <w:r w:rsidR="007172E8">
          <w:rPr>
            <w:webHidden/>
          </w:rPr>
          <w:t>41</w:t>
        </w:r>
        <w:r w:rsidR="007172E8">
          <w:rPr>
            <w:webHidden/>
          </w:rPr>
          <w:fldChar w:fldCharType="end"/>
        </w:r>
      </w:hyperlink>
    </w:p>
    <w:p w14:paraId="0C08EB91" w14:textId="7831D1DF" w:rsidR="007172E8" w:rsidRDefault="008A043C">
      <w:pPr>
        <w:pStyle w:val="Spistreci2"/>
        <w:rPr>
          <w:rFonts w:asciiTheme="minorHAnsi" w:eastAsiaTheme="minorEastAsia" w:hAnsiTheme="minorHAnsi" w:cstheme="minorBidi"/>
          <w:bCs w:val="0"/>
          <w:iCs w:val="0"/>
          <w:sz w:val="22"/>
          <w:lang w:eastAsia="pl-PL"/>
        </w:rPr>
      </w:pPr>
      <w:hyperlink w:anchor="_Toc214025285" w:history="1">
        <w:r w:rsidR="007172E8" w:rsidRPr="00AC464B">
          <w:rPr>
            <w:rStyle w:val="Hipercze"/>
          </w:rPr>
          <w:t>OP5. ZATRUDNIENIE</w:t>
        </w:r>
        <w:r w:rsidR="007172E8">
          <w:rPr>
            <w:webHidden/>
          </w:rPr>
          <w:tab/>
        </w:r>
        <w:r w:rsidR="007172E8">
          <w:rPr>
            <w:webHidden/>
          </w:rPr>
          <w:fldChar w:fldCharType="begin"/>
        </w:r>
        <w:r w:rsidR="007172E8">
          <w:rPr>
            <w:webHidden/>
          </w:rPr>
          <w:instrText xml:space="preserve"> PAGEREF _Toc214025285 \h </w:instrText>
        </w:r>
        <w:r w:rsidR="007172E8">
          <w:rPr>
            <w:webHidden/>
          </w:rPr>
        </w:r>
        <w:r w:rsidR="007172E8">
          <w:rPr>
            <w:webHidden/>
          </w:rPr>
          <w:fldChar w:fldCharType="separate"/>
        </w:r>
        <w:r w:rsidR="007172E8">
          <w:rPr>
            <w:webHidden/>
          </w:rPr>
          <w:t>44</w:t>
        </w:r>
        <w:r w:rsidR="007172E8">
          <w:rPr>
            <w:webHidden/>
          </w:rPr>
          <w:fldChar w:fldCharType="end"/>
        </w:r>
      </w:hyperlink>
    </w:p>
    <w:p w14:paraId="4D41E341" w14:textId="6FCAC78E" w:rsidR="007172E8" w:rsidRDefault="008A043C">
      <w:pPr>
        <w:pStyle w:val="Spistreci2"/>
        <w:rPr>
          <w:rFonts w:asciiTheme="minorHAnsi" w:eastAsiaTheme="minorEastAsia" w:hAnsiTheme="minorHAnsi" w:cstheme="minorBidi"/>
          <w:bCs w:val="0"/>
          <w:iCs w:val="0"/>
          <w:sz w:val="22"/>
          <w:lang w:eastAsia="pl-PL"/>
        </w:rPr>
      </w:pPr>
      <w:hyperlink w:anchor="_Toc214025286" w:history="1">
        <w:r w:rsidR="007172E8" w:rsidRPr="00AC464B">
          <w:rPr>
            <w:rStyle w:val="Hipercze"/>
          </w:rPr>
          <w:t>OP6. INTEGRACJA</w:t>
        </w:r>
        <w:r w:rsidR="007172E8">
          <w:rPr>
            <w:webHidden/>
          </w:rPr>
          <w:tab/>
        </w:r>
        <w:r w:rsidR="007172E8">
          <w:rPr>
            <w:webHidden/>
          </w:rPr>
          <w:fldChar w:fldCharType="begin"/>
        </w:r>
        <w:r w:rsidR="007172E8">
          <w:rPr>
            <w:webHidden/>
          </w:rPr>
          <w:instrText xml:space="preserve"> PAGEREF _Toc214025286 \h </w:instrText>
        </w:r>
        <w:r w:rsidR="007172E8">
          <w:rPr>
            <w:webHidden/>
          </w:rPr>
        </w:r>
        <w:r w:rsidR="007172E8">
          <w:rPr>
            <w:webHidden/>
          </w:rPr>
          <w:fldChar w:fldCharType="separate"/>
        </w:r>
        <w:r w:rsidR="007172E8">
          <w:rPr>
            <w:webHidden/>
          </w:rPr>
          <w:t>48</w:t>
        </w:r>
        <w:r w:rsidR="007172E8">
          <w:rPr>
            <w:webHidden/>
          </w:rPr>
          <w:fldChar w:fldCharType="end"/>
        </w:r>
      </w:hyperlink>
    </w:p>
    <w:p w14:paraId="73B81CB0" w14:textId="43ACC979" w:rsidR="007172E8" w:rsidRDefault="008A043C">
      <w:pPr>
        <w:pStyle w:val="Spistreci2"/>
        <w:rPr>
          <w:rFonts w:asciiTheme="minorHAnsi" w:eastAsiaTheme="minorEastAsia" w:hAnsiTheme="minorHAnsi" w:cstheme="minorBidi"/>
          <w:bCs w:val="0"/>
          <w:iCs w:val="0"/>
          <w:sz w:val="22"/>
          <w:lang w:eastAsia="pl-PL"/>
        </w:rPr>
      </w:pPr>
      <w:hyperlink w:anchor="_Toc214025287" w:history="1">
        <w:r w:rsidR="007172E8" w:rsidRPr="00AC464B">
          <w:rPr>
            <w:rStyle w:val="Hipercze"/>
            <w:lang w:eastAsia="pl-PL"/>
          </w:rPr>
          <w:t>OP7. ZDROWIE I OPIEKA</w:t>
        </w:r>
        <w:r w:rsidR="007172E8">
          <w:rPr>
            <w:webHidden/>
          </w:rPr>
          <w:tab/>
        </w:r>
        <w:r w:rsidR="007172E8">
          <w:rPr>
            <w:webHidden/>
          </w:rPr>
          <w:fldChar w:fldCharType="begin"/>
        </w:r>
        <w:r w:rsidR="007172E8">
          <w:rPr>
            <w:webHidden/>
          </w:rPr>
          <w:instrText xml:space="preserve"> PAGEREF _Toc214025287 \h </w:instrText>
        </w:r>
        <w:r w:rsidR="007172E8">
          <w:rPr>
            <w:webHidden/>
          </w:rPr>
        </w:r>
        <w:r w:rsidR="007172E8">
          <w:rPr>
            <w:webHidden/>
          </w:rPr>
          <w:fldChar w:fldCharType="separate"/>
        </w:r>
        <w:r w:rsidR="007172E8">
          <w:rPr>
            <w:webHidden/>
          </w:rPr>
          <w:t>52</w:t>
        </w:r>
        <w:r w:rsidR="007172E8">
          <w:rPr>
            <w:webHidden/>
          </w:rPr>
          <w:fldChar w:fldCharType="end"/>
        </w:r>
      </w:hyperlink>
    </w:p>
    <w:p w14:paraId="7931713D" w14:textId="1F37D02B" w:rsidR="007172E8" w:rsidRDefault="008A043C">
      <w:pPr>
        <w:pStyle w:val="Spistreci2"/>
        <w:rPr>
          <w:rFonts w:asciiTheme="minorHAnsi" w:eastAsiaTheme="minorEastAsia" w:hAnsiTheme="minorHAnsi" w:cstheme="minorBidi"/>
          <w:bCs w:val="0"/>
          <w:iCs w:val="0"/>
          <w:sz w:val="22"/>
          <w:lang w:eastAsia="pl-PL"/>
        </w:rPr>
      </w:pPr>
      <w:hyperlink w:anchor="_Toc214025288" w:history="1">
        <w:r w:rsidR="007172E8" w:rsidRPr="00AC464B">
          <w:rPr>
            <w:rStyle w:val="Hipercze"/>
            <w:lang w:eastAsia="pl-PL"/>
          </w:rPr>
          <w:t>OP8. KONWERSJA</w:t>
        </w:r>
        <w:r w:rsidR="007172E8">
          <w:rPr>
            <w:webHidden/>
          </w:rPr>
          <w:tab/>
        </w:r>
        <w:r w:rsidR="007172E8">
          <w:rPr>
            <w:webHidden/>
          </w:rPr>
          <w:fldChar w:fldCharType="begin"/>
        </w:r>
        <w:r w:rsidR="007172E8">
          <w:rPr>
            <w:webHidden/>
          </w:rPr>
          <w:instrText xml:space="preserve"> PAGEREF _Toc214025288 \h </w:instrText>
        </w:r>
        <w:r w:rsidR="007172E8">
          <w:rPr>
            <w:webHidden/>
          </w:rPr>
        </w:r>
        <w:r w:rsidR="007172E8">
          <w:rPr>
            <w:webHidden/>
          </w:rPr>
          <w:fldChar w:fldCharType="separate"/>
        </w:r>
        <w:r w:rsidR="007172E8">
          <w:rPr>
            <w:webHidden/>
          </w:rPr>
          <w:t>56</w:t>
        </w:r>
        <w:r w:rsidR="007172E8">
          <w:rPr>
            <w:webHidden/>
          </w:rPr>
          <w:fldChar w:fldCharType="end"/>
        </w:r>
      </w:hyperlink>
    </w:p>
    <w:p w14:paraId="78D2212D" w14:textId="355D63BB" w:rsidR="007172E8" w:rsidRDefault="008A043C">
      <w:pPr>
        <w:pStyle w:val="Spistreci2"/>
        <w:rPr>
          <w:rFonts w:asciiTheme="minorHAnsi" w:eastAsiaTheme="minorEastAsia" w:hAnsiTheme="minorHAnsi" w:cstheme="minorBidi"/>
          <w:bCs w:val="0"/>
          <w:iCs w:val="0"/>
          <w:sz w:val="22"/>
          <w:lang w:eastAsia="pl-PL"/>
        </w:rPr>
      </w:pPr>
      <w:hyperlink w:anchor="_Toc214025289" w:history="1">
        <w:r w:rsidR="007172E8" w:rsidRPr="00AC464B">
          <w:rPr>
            <w:rStyle w:val="Hipercze"/>
            <w:lang w:eastAsia="pl-PL"/>
          </w:rPr>
          <w:t>OP9. MOBILNOŚĆ</w:t>
        </w:r>
        <w:r w:rsidR="007172E8">
          <w:rPr>
            <w:webHidden/>
          </w:rPr>
          <w:tab/>
        </w:r>
        <w:r w:rsidR="007172E8">
          <w:rPr>
            <w:webHidden/>
          </w:rPr>
          <w:fldChar w:fldCharType="begin"/>
        </w:r>
        <w:r w:rsidR="007172E8">
          <w:rPr>
            <w:webHidden/>
          </w:rPr>
          <w:instrText xml:space="preserve"> PAGEREF _Toc214025289 \h </w:instrText>
        </w:r>
        <w:r w:rsidR="007172E8">
          <w:rPr>
            <w:webHidden/>
          </w:rPr>
        </w:r>
        <w:r w:rsidR="007172E8">
          <w:rPr>
            <w:webHidden/>
          </w:rPr>
          <w:fldChar w:fldCharType="separate"/>
        </w:r>
        <w:r w:rsidR="007172E8">
          <w:rPr>
            <w:webHidden/>
          </w:rPr>
          <w:t>60</w:t>
        </w:r>
        <w:r w:rsidR="007172E8">
          <w:rPr>
            <w:webHidden/>
          </w:rPr>
          <w:fldChar w:fldCharType="end"/>
        </w:r>
      </w:hyperlink>
    </w:p>
    <w:p w14:paraId="304FAA78" w14:textId="3B79A060" w:rsidR="007172E8" w:rsidRDefault="008A043C">
      <w:pPr>
        <w:pStyle w:val="Spistreci2"/>
        <w:rPr>
          <w:rFonts w:asciiTheme="minorHAnsi" w:eastAsiaTheme="minorEastAsia" w:hAnsiTheme="minorHAnsi" w:cstheme="minorBidi"/>
          <w:bCs w:val="0"/>
          <w:iCs w:val="0"/>
          <w:sz w:val="22"/>
          <w:lang w:eastAsia="pl-PL"/>
        </w:rPr>
      </w:pPr>
      <w:hyperlink w:anchor="_Toc214025290" w:history="1">
        <w:r w:rsidR="007172E8" w:rsidRPr="00AC464B">
          <w:rPr>
            <w:rStyle w:val="Hipercze"/>
            <w:lang w:eastAsia="pl-PL"/>
          </w:rPr>
          <w:t>OP10. ENERGIA</w:t>
        </w:r>
        <w:r w:rsidR="007172E8">
          <w:rPr>
            <w:webHidden/>
          </w:rPr>
          <w:tab/>
        </w:r>
        <w:r w:rsidR="007172E8">
          <w:rPr>
            <w:webHidden/>
          </w:rPr>
          <w:fldChar w:fldCharType="begin"/>
        </w:r>
        <w:r w:rsidR="007172E8">
          <w:rPr>
            <w:webHidden/>
          </w:rPr>
          <w:instrText xml:space="preserve"> PAGEREF _Toc214025290 \h </w:instrText>
        </w:r>
        <w:r w:rsidR="007172E8">
          <w:rPr>
            <w:webHidden/>
          </w:rPr>
        </w:r>
        <w:r w:rsidR="007172E8">
          <w:rPr>
            <w:webHidden/>
          </w:rPr>
          <w:fldChar w:fldCharType="separate"/>
        </w:r>
        <w:r w:rsidR="007172E8">
          <w:rPr>
            <w:webHidden/>
          </w:rPr>
          <w:t>63</w:t>
        </w:r>
        <w:r w:rsidR="007172E8">
          <w:rPr>
            <w:webHidden/>
          </w:rPr>
          <w:fldChar w:fldCharType="end"/>
        </w:r>
      </w:hyperlink>
    </w:p>
    <w:p w14:paraId="7B4B7F74" w14:textId="344F3F64" w:rsidR="007172E8" w:rsidRDefault="008A043C">
      <w:pPr>
        <w:pStyle w:val="Spistreci2"/>
        <w:rPr>
          <w:rFonts w:asciiTheme="minorHAnsi" w:eastAsiaTheme="minorEastAsia" w:hAnsiTheme="minorHAnsi" w:cstheme="minorBidi"/>
          <w:bCs w:val="0"/>
          <w:iCs w:val="0"/>
          <w:sz w:val="22"/>
          <w:lang w:eastAsia="pl-PL"/>
        </w:rPr>
      </w:pPr>
      <w:hyperlink w:anchor="_Toc214025291" w:history="1">
        <w:r w:rsidR="007172E8" w:rsidRPr="00AC464B">
          <w:rPr>
            <w:rStyle w:val="Hipercze"/>
            <w:lang w:eastAsia="pl-PL"/>
          </w:rPr>
          <w:t>OP11. ŚRODOWISKO</w:t>
        </w:r>
        <w:r w:rsidR="007172E8">
          <w:rPr>
            <w:webHidden/>
          </w:rPr>
          <w:tab/>
        </w:r>
        <w:r w:rsidR="007172E8">
          <w:rPr>
            <w:webHidden/>
          </w:rPr>
          <w:fldChar w:fldCharType="begin"/>
        </w:r>
        <w:r w:rsidR="007172E8">
          <w:rPr>
            <w:webHidden/>
          </w:rPr>
          <w:instrText xml:space="preserve"> PAGEREF _Toc214025291 \h </w:instrText>
        </w:r>
        <w:r w:rsidR="007172E8">
          <w:rPr>
            <w:webHidden/>
          </w:rPr>
        </w:r>
        <w:r w:rsidR="007172E8">
          <w:rPr>
            <w:webHidden/>
          </w:rPr>
          <w:fldChar w:fldCharType="separate"/>
        </w:r>
        <w:r w:rsidR="007172E8">
          <w:rPr>
            <w:webHidden/>
          </w:rPr>
          <w:t>67</w:t>
        </w:r>
        <w:r w:rsidR="007172E8">
          <w:rPr>
            <w:webHidden/>
          </w:rPr>
          <w:fldChar w:fldCharType="end"/>
        </w:r>
      </w:hyperlink>
    </w:p>
    <w:p w14:paraId="1A657862" w14:textId="1920EB37" w:rsidR="007172E8" w:rsidRDefault="008A043C">
      <w:pPr>
        <w:pStyle w:val="Spistreci2"/>
        <w:rPr>
          <w:rFonts w:asciiTheme="minorHAnsi" w:eastAsiaTheme="minorEastAsia" w:hAnsiTheme="minorHAnsi" w:cstheme="minorBidi"/>
          <w:bCs w:val="0"/>
          <w:iCs w:val="0"/>
          <w:sz w:val="22"/>
          <w:lang w:eastAsia="pl-PL"/>
        </w:rPr>
      </w:pPr>
      <w:hyperlink w:anchor="_Toc214025292" w:history="1">
        <w:r w:rsidR="007172E8" w:rsidRPr="00AC464B">
          <w:rPr>
            <w:rStyle w:val="Hipercze"/>
          </w:rPr>
          <w:t>OP12. POMOC TECHNICZNA</w:t>
        </w:r>
        <w:r w:rsidR="007172E8">
          <w:rPr>
            <w:webHidden/>
          </w:rPr>
          <w:tab/>
        </w:r>
        <w:r w:rsidR="007172E8">
          <w:rPr>
            <w:webHidden/>
          </w:rPr>
          <w:fldChar w:fldCharType="begin"/>
        </w:r>
        <w:r w:rsidR="007172E8">
          <w:rPr>
            <w:webHidden/>
          </w:rPr>
          <w:instrText xml:space="preserve"> PAGEREF _Toc214025292 \h </w:instrText>
        </w:r>
        <w:r w:rsidR="007172E8">
          <w:rPr>
            <w:webHidden/>
          </w:rPr>
        </w:r>
        <w:r w:rsidR="007172E8">
          <w:rPr>
            <w:webHidden/>
          </w:rPr>
          <w:fldChar w:fldCharType="separate"/>
        </w:r>
        <w:r w:rsidR="007172E8">
          <w:rPr>
            <w:webHidden/>
          </w:rPr>
          <w:t>71</w:t>
        </w:r>
        <w:r w:rsidR="007172E8">
          <w:rPr>
            <w:webHidden/>
          </w:rPr>
          <w:fldChar w:fldCharType="end"/>
        </w:r>
      </w:hyperlink>
    </w:p>
    <w:p w14:paraId="41C8092A" w14:textId="5448ED58" w:rsidR="007172E8" w:rsidRDefault="008A043C">
      <w:pPr>
        <w:pStyle w:val="Spistreci2"/>
        <w:rPr>
          <w:rFonts w:asciiTheme="minorHAnsi" w:eastAsiaTheme="minorEastAsia" w:hAnsiTheme="minorHAnsi" w:cstheme="minorBidi"/>
          <w:bCs w:val="0"/>
          <w:iCs w:val="0"/>
          <w:sz w:val="22"/>
          <w:lang w:eastAsia="pl-PL"/>
        </w:rPr>
      </w:pPr>
      <w:hyperlink w:anchor="_Toc214025293" w:history="1">
        <w:r w:rsidR="007172E8" w:rsidRPr="00AC464B">
          <w:rPr>
            <w:rStyle w:val="Hipercze"/>
          </w:rPr>
          <w:t>OP13. ODBUDOWA I ODPORNOŚĆ (REACT-EU)</w:t>
        </w:r>
        <w:r w:rsidR="007172E8">
          <w:rPr>
            <w:webHidden/>
          </w:rPr>
          <w:tab/>
        </w:r>
        <w:r w:rsidR="007172E8">
          <w:rPr>
            <w:webHidden/>
          </w:rPr>
          <w:fldChar w:fldCharType="begin"/>
        </w:r>
        <w:r w:rsidR="007172E8">
          <w:rPr>
            <w:webHidden/>
          </w:rPr>
          <w:instrText xml:space="preserve"> PAGEREF _Toc214025293 \h </w:instrText>
        </w:r>
        <w:r w:rsidR="007172E8">
          <w:rPr>
            <w:webHidden/>
          </w:rPr>
        </w:r>
        <w:r w:rsidR="007172E8">
          <w:rPr>
            <w:webHidden/>
          </w:rPr>
          <w:fldChar w:fldCharType="separate"/>
        </w:r>
        <w:r w:rsidR="007172E8">
          <w:rPr>
            <w:webHidden/>
          </w:rPr>
          <w:t>72</w:t>
        </w:r>
        <w:r w:rsidR="007172E8">
          <w:rPr>
            <w:webHidden/>
          </w:rPr>
          <w:fldChar w:fldCharType="end"/>
        </w:r>
      </w:hyperlink>
    </w:p>
    <w:p w14:paraId="321467A0" w14:textId="688A54F1" w:rsidR="007172E8" w:rsidRDefault="008A043C">
      <w:pPr>
        <w:pStyle w:val="Spistreci2"/>
        <w:rPr>
          <w:rFonts w:asciiTheme="minorHAnsi" w:eastAsiaTheme="minorEastAsia" w:hAnsiTheme="minorHAnsi" w:cstheme="minorBidi"/>
          <w:bCs w:val="0"/>
          <w:iCs w:val="0"/>
          <w:sz w:val="22"/>
          <w:lang w:eastAsia="pl-PL"/>
        </w:rPr>
      </w:pPr>
      <w:hyperlink w:anchor="_Toc214025294" w:history="1">
        <w:r w:rsidR="007172E8" w:rsidRPr="00AC464B">
          <w:rPr>
            <w:rStyle w:val="Hipercze"/>
          </w:rPr>
          <w:t>OP14. INTEGRACJA IMIGRANTÓW</w:t>
        </w:r>
        <w:r w:rsidR="007172E8">
          <w:rPr>
            <w:webHidden/>
          </w:rPr>
          <w:tab/>
        </w:r>
        <w:r w:rsidR="007172E8">
          <w:rPr>
            <w:webHidden/>
          </w:rPr>
          <w:fldChar w:fldCharType="begin"/>
        </w:r>
        <w:r w:rsidR="007172E8">
          <w:rPr>
            <w:webHidden/>
          </w:rPr>
          <w:instrText xml:space="preserve"> PAGEREF _Toc214025294 \h </w:instrText>
        </w:r>
        <w:r w:rsidR="007172E8">
          <w:rPr>
            <w:webHidden/>
          </w:rPr>
        </w:r>
        <w:r w:rsidR="007172E8">
          <w:rPr>
            <w:webHidden/>
          </w:rPr>
          <w:fldChar w:fldCharType="separate"/>
        </w:r>
        <w:r w:rsidR="007172E8">
          <w:rPr>
            <w:webHidden/>
          </w:rPr>
          <w:t>76</w:t>
        </w:r>
        <w:r w:rsidR="007172E8">
          <w:rPr>
            <w:webHidden/>
          </w:rPr>
          <w:fldChar w:fldCharType="end"/>
        </w:r>
      </w:hyperlink>
    </w:p>
    <w:p w14:paraId="53D83705" w14:textId="4BF3C1F9" w:rsidR="007172E8" w:rsidRDefault="008A043C">
      <w:pPr>
        <w:pStyle w:val="Spistreci2"/>
        <w:rPr>
          <w:rFonts w:asciiTheme="minorHAnsi" w:eastAsiaTheme="minorEastAsia" w:hAnsiTheme="minorHAnsi" w:cstheme="minorBidi"/>
          <w:bCs w:val="0"/>
          <w:iCs w:val="0"/>
          <w:sz w:val="22"/>
          <w:lang w:eastAsia="pl-PL"/>
        </w:rPr>
      </w:pPr>
      <w:hyperlink w:anchor="_Toc214025295" w:history="1">
        <w:r w:rsidR="007172E8" w:rsidRPr="00AC464B">
          <w:rPr>
            <w:rStyle w:val="Hipercze"/>
          </w:rPr>
          <w:t>11.2. Szczególne przedsięwzięcia mające na celu promo</w:t>
        </w:r>
        <w:bookmarkStart w:id="1" w:name="_GoBack"/>
        <w:bookmarkEnd w:id="1"/>
        <w:r w:rsidR="007172E8" w:rsidRPr="00AC464B">
          <w:rPr>
            <w:rStyle w:val="Hipercze"/>
          </w:rPr>
          <w:t>wanie równouprawnienia płci oraz zapobieganie dyskryminacji, w tym w szczególności zapewnienie dostępności dla osób z niepełnosprawnościami, i rozwiązania wdrożone, aby zapewnić włączenie punktu widzenia płci do programów operacyjnych i operacji</w:t>
        </w:r>
        <w:r w:rsidR="007172E8">
          <w:rPr>
            <w:webHidden/>
          </w:rPr>
          <w:tab/>
        </w:r>
        <w:r w:rsidR="007172E8">
          <w:rPr>
            <w:webHidden/>
          </w:rPr>
          <w:fldChar w:fldCharType="begin"/>
        </w:r>
        <w:r w:rsidR="007172E8">
          <w:rPr>
            <w:webHidden/>
          </w:rPr>
          <w:instrText xml:space="preserve"> PAGEREF _Toc214025295 \h </w:instrText>
        </w:r>
        <w:r w:rsidR="007172E8">
          <w:rPr>
            <w:webHidden/>
          </w:rPr>
        </w:r>
        <w:r w:rsidR="007172E8">
          <w:rPr>
            <w:webHidden/>
          </w:rPr>
          <w:fldChar w:fldCharType="separate"/>
        </w:r>
        <w:r w:rsidR="007172E8">
          <w:rPr>
            <w:webHidden/>
          </w:rPr>
          <w:t>78</w:t>
        </w:r>
        <w:r w:rsidR="007172E8">
          <w:rPr>
            <w:webHidden/>
          </w:rPr>
          <w:fldChar w:fldCharType="end"/>
        </w:r>
      </w:hyperlink>
    </w:p>
    <w:p w14:paraId="28C3A91D" w14:textId="146184EF" w:rsidR="007172E8" w:rsidRDefault="008A043C">
      <w:pPr>
        <w:pStyle w:val="Spistreci2"/>
        <w:rPr>
          <w:rFonts w:asciiTheme="minorHAnsi" w:eastAsiaTheme="minorEastAsia" w:hAnsiTheme="minorHAnsi" w:cstheme="minorBidi"/>
          <w:bCs w:val="0"/>
          <w:iCs w:val="0"/>
          <w:sz w:val="22"/>
          <w:lang w:eastAsia="pl-PL"/>
        </w:rPr>
      </w:pPr>
      <w:hyperlink w:anchor="_Toc214025296" w:history="1">
        <w:r w:rsidR="007172E8" w:rsidRPr="00AC464B">
          <w:rPr>
            <w:rStyle w:val="Hipercze"/>
          </w:rPr>
          <w:t>11.3. Zrównoważony rozwój (art. 50 ust. 4 i art. 111 ust. 4 akapit drugi lit. f) rozporządzenia ogólnego)</w:t>
        </w:r>
        <w:r w:rsidR="007172E8">
          <w:rPr>
            <w:webHidden/>
          </w:rPr>
          <w:tab/>
        </w:r>
        <w:r w:rsidR="007172E8">
          <w:rPr>
            <w:webHidden/>
          </w:rPr>
          <w:fldChar w:fldCharType="begin"/>
        </w:r>
        <w:r w:rsidR="007172E8">
          <w:rPr>
            <w:webHidden/>
          </w:rPr>
          <w:instrText xml:space="preserve"> PAGEREF _Toc214025296 \h </w:instrText>
        </w:r>
        <w:r w:rsidR="007172E8">
          <w:rPr>
            <w:webHidden/>
          </w:rPr>
        </w:r>
        <w:r w:rsidR="007172E8">
          <w:rPr>
            <w:webHidden/>
          </w:rPr>
          <w:fldChar w:fldCharType="separate"/>
        </w:r>
        <w:r w:rsidR="007172E8">
          <w:rPr>
            <w:webHidden/>
          </w:rPr>
          <w:t>79</w:t>
        </w:r>
        <w:r w:rsidR="007172E8">
          <w:rPr>
            <w:webHidden/>
          </w:rPr>
          <w:fldChar w:fldCharType="end"/>
        </w:r>
      </w:hyperlink>
    </w:p>
    <w:p w14:paraId="753B7F65" w14:textId="47CF4463" w:rsidR="007172E8" w:rsidRDefault="008A043C">
      <w:pPr>
        <w:pStyle w:val="Spistreci2"/>
        <w:rPr>
          <w:rFonts w:asciiTheme="minorHAnsi" w:eastAsiaTheme="minorEastAsia" w:hAnsiTheme="minorHAnsi" w:cstheme="minorBidi"/>
          <w:bCs w:val="0"/>
          <w:iCs w:val="0"/>
          <w:sz w:val="22"/>
          <w:lang w:eastAsia="pl-PL"/>
        </w:rPr>
      </w:pPr>
      <w:hyperlink w:anchor="_Toc214025297" w:history="1">
        <w:r w:rsidR="007172E8" w:rsidRPr="00AC464B">
          <w:rPr>
            <w:rStyle w:val="Hipercze"/>
          </w:rPr>
          <w:t>11.4. Sprawozdania dotyczące wsparcia wykorzystanego na cele dotyczące zmiany klimatu (art. 50 ust. 4 rozporządzenia ogólnego)</w:t>
        </w:r>
        <w:r w:rsidR="007172E8">
          <w:rPr>
            <w:webHidden/>
          </w:rPr>
          <w:tab/>
        </w:r>
        <w:r w:rsidR="007172E8">
          <w:rPr>
            <w:webHidden/>
          </w:rPr>
          <w:fldChar w:fldCharType="begin"/>
        </w:r>
        <w:r w:rsidR="007172E8">
          <w:rPr>
            <w:webHidden/>
          </w:rPr>
          <w:instrText xml:space="preserve"> PAGEREF _Toc214025297 \h </w:instrText>
        </w:r>
        <w:r w:rsidR="007172E8">
          <w:rPr>
            <w:webHidden/>
          </w:rPr>
        </w:r>
        <w:r w:rsidR="007172E8">
          <w:rPr>
            <w:webHidden/>
          </w:rPr>
          <w:fldChar w:fldCharType="separate"/>
        </w:r>
        <w:r w:rsidR="007172E8">
          <w:rPr>
            <w:webHidden/>
          </w:rPr>
          <w:t>81</w:t>
        </w:r>
        <w:r w:rsidR="007172E8">
          <w:rPr>
            <w:webHidden/>
          </w:rPr>
          <w:fldChar w:fldCharType="end"/>
        </w:r>
      </w:hyperlink>
    </w:p>
    <w:p w14:paraId="069338EF" w14:textId="475D4224" w:rsidR="007172E8" w:rsidRDefault="008A043C">
      <w:pPr>
        <w:pStyle w:val="Spistreci2"/>
        <w:rPr>
          <w:rFonts w:asciiTheme="minorHAnsi" w:eastAsiaTheme="minorEastAsia" w:hAnsiTheme="minorHAnsi" w:cstheme="minorBidi"/>
          <w:bCs w:val="0"/>
          <w:iCs w:val="0"/>
          <w:sz w:val="22"/>
          <w:lang w:eastAsia="pl-PL"/>
        </w:rPr>
      </w:pPr>
      <w:hyperlink w:anchor="_Toc214025298" w:history="1">
        <w:r w:rsidR="007172E8" w:rsidRPr="00AC464B">
          <w:rPr>
            <w:rStyle w:val="Hipercze"/>
          </w:rPr>
          <w:t>11.5. Rola partnerów we wdrażaniu programu (art. 50 ust. 4 i art. 111 ust. 3 akapit pierwszy lit. c) rozporządzenia ogólnego)</w:t>
        </w:r>
        <w:r w:rsidR="007172E8">
          <w:rPr>
            <w:webHidden/>
          </w:rPr>
          <w:tab/>
        </w:r>
        <w:r w:rsidR="007172E8">
          <w:rPr>
            <w:webHidden/>
          </w:rPr>
          <w:fldChar w:fldCharType="begin"/>
        </w:r>
        <w:r w:rsidR="007172E8">
          <w:rPr>
            <w:webHidden/>
          </w:rPr>
          <w:instrText xml:space="preserve"> PAGEREF _Toc214025298 \h </w:instrText>
        </w:r>
        <w:r w:rsidR="007172E8">
          <w:rPr>
            <w:webHidden/>
          </w:rPr>
        </w:r>
        <w:r w:rsidR="007172E8">
          <w:rPr>
            <w:webHidden/>
          </w:rPr>
          <w:fldChar w:fldCharType="separate"/>
        </w:r>
        <w:r w:rsidR="007172E8">
          <w:rPr>
            <w:webHidden/>
          </w:rPr>
          <w:t>82</w:t>
        </w:r>
        <w:r w:rsidR="007172E8">
          <w:rPr>
            <w:webHidden/>
          </w:rPr>
          <w:fldChar w:fldCharType="end"/>
        </w:r>
      </w:hyperlink>
    </w:p>
    <w:p w14:paraId="58FBEA63" w14:textId="5656B0BF" w:rsidR="007172E8" w:rsidRDefault="008A043C">
      <w:pPr>
        <w:pStyle w:val="Spistreci1"/>
        <w:rPr>
          <w:rFonts w:asciiTheme="minorHAnsi" w:eastAsiaTheme="minorEastAsia" w:hAnsiTheme="minorHAnsi" w:cstheme="minorBidi"/>
          <w:noProof/>
          <w:sz w:val="22"/>
          <w:lang w:eastAsia="pl-PL"/>
        </w:rPr>
      </w:pPr>
      <w:hyperlink w:anchor="_Toc214025299" w:history="1">
        <w:r w:rsidR="007172E8" w:rsidRPr="00AC464B">
          <w:rPr>
            <w:rStyle w:val="Hipercze"/>
            <w:rFonts w:cs="Arial"/>
            <w:noProof/>
          </w:rPr>
          <w:t>12. Obowiązkowe informacje i ocena zgodnie z art. 111 ust. 4 akapit pierwszy lit. a) i b) rozporządzenia ogólnego</w:t>
        </w:r>
        <w:r w:rsidR="007172E8">
          <w:rPr>
            <w:noProof/>
            <w:webHidden/>
          </w:rPr>
          <w:tab/>
        </w:r>
        <w:r w:rsidR="007172E8">
          <w:rPr>
            <w:noProof/>
            <w:webHidden/>
          </w:rPr>
          <w:fldChar w:fldCharType="begin"/>
        </w:r>
        <w:r w:rsidR="007172E8">
          <w:rPr>
            <w:noProof/>
            <w:webHidden/>
          </w:rPr>
          <w:instrText xml:space="preserve"> PAGEREF _Toc214025299 \h </w:instrText>
        </w:r>
        <w:r w:rsidR="007172E8">
          <w:rPr>
            <w:noProof/>
            <w:webHidden/>
          </w:rPr>
        </w:r>
        <w:r w:rsidR="007172E8">
          <w:rPr>
            <w:noProof/>
            <w:webHidden/>
          </w:rPr>
          <w:fldChar w:fldCharType="separate"/>
        </w:r>
        <w:r w:rsidR="007172E8">
          <w:rPr>
            <w:noProof/>
            <w:webHidden/>
          </w:rPr>
          <w:t>83</w:t>
        </w:r>
        <w:r w:rsidR="007172E8">
          <w:rPr>
            <w:noProof/>
            <w:webHidden/>
          </w:rPr>
          <w:fldChar w:fldCharType="end"/>
        </w:r>
      </w:hyperlink>
    </w:p>
    <w:p w14:paraId="535BAF55" w14:textId="673C497B" w:rsidR="007172E8" w:rsidRDefault="008A043C">
      <w:pPr>
        <w:pStyle w:val="Spistreci2"/>
        <w:rPr>
          <w:rFonts w:asciiTheme="minorHAnsi" w:eastAsiaTheme="minorEastAsia" w:hAnsiTheme="minorHAnsi" w:cstheme="minorBidi"/>
          <w:bCs w:val="0"/>
          <w:iCs w:val="0"/>
          <w:sz w:val="22"/>
          <w:lang w:eastAsia="pl-PL"/>
        </w:rPr>
      </w:pPr>
      <w:hyperlink w:anchor="_Toc214025300" w:history="1">
        <w:r w:rsidR="007172E8" w:rsidRPr="00AC464B">
          <w:rPr>
            <w:rStyle w:val="Hipercze"/>
          </w:rPr>
          <w:t>12.1. Postępy w realizacji planu ewaluacji oraz wykorzystanie wyników ewaluacji</w:t>
        </w:r>
        <w:r w:rsidR="007172E8">
          <w:rPr>
            <w:webHidden/>
          </w:rPr>
          <w:tab/>
        </w:r>
        <w:r w:rsidR="007172E8">
          <w:rPr>
            <w:webHidden/>
          </w:rPr>
          <w:fldChar w:fldCharType="begin"/>
        </w:r>
        <w:r w:rsidR="007172E8">
          <w:rPr>
            <w:webHidden/>
          </w:rPr>
          <w:instrText xml:space="preserve"> PAGEREF _Toc214025300 \h </w:instrText>
        </w:r>
        <w:r w:rsidR="007172E8">
          <w:rPr>
            <w:webHidden/>
          </w:rPr>
        </w:r>
        <w:r w:rsidR="007172E8">
          <w:rPr>
            <w:webHidden/>
          </w:rPr>
          <w:fldChar w:fldCharType="separate"/>
        </w:r>
        <w:r w:rsidR="007172E8">
          <w:rPr>
            <w:webHidden/>
          </w:rPr>
          <w:t>83</w:t>
        </w:r>
        <w:r w:rsidR="007172E8">
          <w:rPr>
            <w:webHidden/>
          </w:rPr>
          <w:fldChar w:fldCharType="end"/>
        </w:r>
      </w:hyperlink>
    </w:p>
    <w:p w14:paraId="7F6221C6" w14:textId="605F7581" w:rsidR="007172E8" w:rsidRDefault="008A043C">
      <w:pPr>
        <w:pStyle w:val="Spistreci2"/>
        <w:rPr>
          <w:rFonts w:asciiTheme="minorHAnsi" w:eastAsiaTheme="minorEastAsia" w:hAnsiTheme="minorHAnsi" w:cstheme="minorBidi"/>
          <w:bCs w:val="0"/>
          <w:iCs w:val="0"/>
          <w:sz w:val="22"/>
          <w:lang w:eastAsia="pl-PL"/>
        </w:rPr>
      </w:pPr>
      <w:hyperlink w:anchor="_Toc214025301" w:history="1">
        <w:r w:rsidR="007172E8" w:rsidRPr="00AC464B">
          <w:rPr>
            <w:rStyle w:val="Hipercze"/>
          </w:rPr>
          <w:t>12.2. Wyniki działań informacyjnych i promocyjnych funduszy polityki spójności prowadzonych w ramach strategii komunikacji</w:t>
        </w:r>
        <w:r w:rsidR="007172E8">
          <w:rPr>
            <w:webHidden/>
          </w:rPr>
          <w:tab/>
        </w:r>
        <w:r w:rsidR="007172E8">
          <w:rPr>
            <w:webHidden/>
          </w:rPr>
          <w:fldChar w:fldCharType="begin"/>
        </w:r>
        <w:r w:rsidR="007172E8">
          <w:rPr>
            <w:webHidden/>
          </w:rPr>
          <w:instrText xml:space="preserve"> PAGEREF _Toc214025301 \h </w:instrText>
        </w:r>
        <w:r w:rsidR="007172E8">
          <w:rPr>
            <w:webHidden/>
          </w:rPr>
        </w:r>
        <w:r w:rsidR="007172E8">
          <w:rPr>
            <w:webHidden/>
          </w:rPr>
          <w:fldChar w:fldCharType="separate"/>
        </w:r>
        <w:r w:rsidR="007172E8">
          <w:rPr>
            <w:webHidden/>
          </w:rPr>
          <w:t>85</w:t>
        </w:r>
        <w:r w:rsidR="007172E8">
          <w:rPr>
            <w:webHidden/>
          </w:rPr>
          <w:fldChar w:fldCharType="end"/>
        </w:r>
      </w:hyperlink>
    </w:p>
    <w:p w14:paraId="72B69739" w14:textId="4DF6D7A5" w:rsidR="007172E8" w:rsidRDefault="008A043C">
      <w:pPr>
        <w:pStyle w:val="Spistreci1"/>
        <w:rPr>
          <w:rFonts w:asciiTheme="minorHAnsi" w:eastAsiaTheme="minorEastAsia" w:hAnsiTheme="minorHAnsi" w:cstheme="minorBidi"/>
          <w:noProof/>
          <w:sz w:val="22"/>
          <w:lang w:eastAsia="pl-PL"/>
        </w:rPr>
      </w:pPr>
      <w:hyperlink w:anchor="_Toc214025302" w:history="1">
        <w:r w:rsidR="007172E8" w:rsidRPr="00AC464B">
          <w:rPr>
            <w:rStyle w:val="Hipercze"/>
            <w:rFonts w:cs="Arial"/>
            <w:noProof/>
          </w:rPr>
          <w:t>13. Działania podjęte w celu spełnienia warunków wstępnych (art. 50 ust. 4 rozporządzenia ogólnego)</w:t>
        </w:r>
        <w:r w:rsidR="007172E8">
          <w:rPr>
            <w:noProof/>
            <w:webHidden/>
          </w:rPr>
          <w:tab/>
        </w:r>
        <w:r w:rsidR="007172E8">
          <w:rPr>
            <w:noProof/>
            <w:webHidden/>
          </w:rPr>
          <w:fldChar w:fldCharType="begin"/>
        </w:r>
        <w:r w:rsidR="007172E8">
          <w:rPr>
            <w:noProof/>
            <w:webHidden/>
          </w:rPr>
          <w:instrText xml:space="preserve"> PAGEREF _Toc214025302 \h </w:instrText>
        </w:r>
        <w:r w:rsidR="007172E8">
          <w:rPr>
            <w:noProof/>
            <w:webHidden/>
          </w:rPr>
        </w:r>
        <w:r w:rsidR="007172E8">
          <w:rPr>
            <w:noProof/>
            <w:webHidden/>
          </w:rPr>
          <w:fldChar w:fldCharType="separate"/>
        </w:r>
        <w:r w:rsidR="007172E8">
          <w:rPr>
            <w:noProof/>
            <w:webHidden/>
          </w:rPr>
          <w:t>87</w:t>
        </w:r>
        <w:r w:rsidR="007172E8">
          <w:rPr>
            <w:noProof/>
            <w:webHidden/>
          </w:rPr>
          <w:fldChar w:fldCharType="end"/>
        </w:r>
      </w:hyperlink>
    </w:p>
    <w:p w14:paraId="61D44DEE" w14:textId="04A11781" w:rsidR="007172E8" w:rsidRDefault="008A043C">
      <w:pPr>
        <w:pStyle w:val="Spistreci1"/>
        <w:rPr>
          <w:rFonts w:asciiTheme="minorHAnsi" w:eastAsiaTheme="minorEastAsia" w:hAnsiTheme="minorHAnsi" w:cstheme="minorBidi"/>
          <w:noProof/>
          <w:sz w:val="22"/>
          <w:lang w:eastAsia="pl-PL"/>
        </w:rPr>
      </w:pPr>
      <w:hyperlink w:anchor="_Toc214025303" w:history="1">
        <w:r w:rsidR="007172E8" w:rsidRPr="00AC464B">
          <w:rPr>
            <w:rStyle w:val="Hipercze"/>
            <w:rFonts w:cs="Arial"/>
            <w:noProof/>
          </w:rPr>
          <w:t>14. Dodatkowe informacje, które można dołączyć, w zależności od treści i celów programu operacyjnego (art. 111 ust. 4 akapit drugi lit. a), b), c), d), g) i h) rozporządzenia ogólnego)</w:t>
        </w:r>
        <w:r w:rsidR="007172E8">
          <w:rPr>
            <w:noProof/>
            <w:webHidden/>
          </w:rPr>
          <w:tab/>
        </w:r>
        <w:r w:rsidR="007172E8">
          <w:rPr>
            <w:noProof/>
            <w:webHidden/>
          </w:rPr>
          <w:fldChar w:fldCharType="begin"/>
        </w:r>
        <w:r w:rsidR="007172E8">
          <w:rPr>
            <w:noProof/>
            <w:webHidden/>
          </w:rPr>
          <w:instrText xml:space="preserve"> PAGEREF _Toc214025303 \h </w:instrText>
        </w:r>
        <w:r w:rsidR="007172E8">
          <w:rPr>
            <w:noProof/>
            <w:webHidden/>
          </w:rPr>
        </w:r>
        <w:r w:rsidR="007172E8">
          <w:rPr>
            <w:noProof/>
            <w:webHidden/>
          </w:rPr>
          <w:fldChar w:fldCharType="separate"/>
        </w:r>
        <w:r w:rsidR="007172E8">
          <w:rPr>
            <w:noProof/>
            <w:webHidden/>
          </w:rPr>
          <w:t>87</w:t>
        </w:r>
        <w:r w:rsidR="007172E8">
          <w:rPr>
            <w:noProof/>
            <w:webHidden/>
          </w:rPr>
          <w:fldChar w:fldCharType="end"/>
        </w:r>
      </w:hyperlink>
    </w:p>
    <w:p w14:paraId="28BE96C7" w14:textId="4D628F36" w:rsidR="007172E8" w:rsidRDefault="008A043C">
      <w:pPr>
        <w:pStyle w:val="Spistreci2"/>
        <w:rPr>
          <w:rFonts w:asciiTheme="minorHAnsi" w:eastAsiaTheme="minorEastAsia" w:hAnsiTheme="minorHAnsi" w:cstheme="minorBidi"/>
          <w:bCs w:val="0"/>
          <w:iCs w:val="0"/>
          <w:sz w:val="22"/>
          <w:lang w:eastAsia="pl-PL"/>
        </w:rPr>
      </w:pPr>
      <w:hyperlink w:anchor="_Toc214025304" w:history="1">
        <w:r w:rsidR="007172E8" w:rsidRPr="00AC464B">
          <w:rPr>
            <w:rStyle w:val="Hipercze"/>
          </w:rPr>
          <w:t>14.1. 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r w:rsidR="007172E8">
          <w:rPr>
            <w:webHidden/>
          </w:rPr>
          <w:tab/>
        </w:r>
        <w:r w:rsidR="007172E8">
          <w:rPr>
            <w:webHidden/>
          </w:rPr>
          <w:fldChar w:fldCharType="begin"/>
        </w:r>
        <w:r w:rsidR="007172E8">
          <w:rPr>
            <w:webHidden/>
          </w:rPr>
          <w:instrText xml:space="preserve"> PAGEREF _Toc214025304 \h </w:instrText>
        </w:r>
        <w:r w:rsidR="007172E8">
          <w:rPr>
            <w:webHidden/>
          </w:rPr>
        </w:r>
        <w:r w:rsidR="007172E8">
          <w:rPr>
            <w:webHidden/>
          </w:rPr>
          <w:fldChar w:fldCharType="separate"/>
        </w:r>
        <w:r w:rsidR="007172E8">
          <w:rPr>
            <w:webHidden/>
          </w:rPr>
          <w:t>87</w:t>
        </w:r>
        <w:r w:rsidR="007172E8">
          <w:rPr>
            <w:webHidden/>
          </w:rPr>
          <w:fldChar w:fldCharType="end"/>
        </w:r>
      </w:hyperlink>
    </w:p>
    <w:p w14:paraId="32AB18AD" w14:textId="2F65C151" w:rsidR="007172E8" w:rsidRDefault="008A043C">
      <w:pPr>
        <w:pStyle w:val="Spistreci2"/>
        <w:rPr>
          <w:rFonts w:asciiTheme="minorHAnsi" w:eastAsiaTheme="minorEastAsia" w:hAnsiTheme="minorHAnsi" w:cstheme="minorBidi"/>
          <w:bCs w:val="0"/>
          <w:iCs w:val="0"/>
          <w:sz w:val="22"/>
          <w:lang w:eastAsia="pl-PL"/>
        </w:rPr>
      </w:pPr>
      <w:hyperlink w:anchor="_Toc214025305" w:history="1">
        <w:r w:rsidR="007172E8" w:rsidRPr="00AC464B">
          <w:rPr>
            <w:rStyle w:val="Hipercze"/>
          </w:rPr>
          <w:t>14.2. Postępy w realizacji przedsięwzięć mających na celu zwiększenie zdolności instytucji i beneficjentów w państwach członkowskich w zakresie zarządzania funduszami i korzystania z nich</w:t>
        </w:r>
        <w:r w:rsidR="007172E8">
          <w:rPr>
            <w:webHidden/>
          </w:rPr>
          <w:tab/>
        </w:r>
        <w:r w:rsidR="007172E8">
          <w:rPr>
            <w:webHidden/>
          </w:rPr>
          <w:fldChar w:fldCharType="begin"/>
        </w:r>
        <w:r w:rsidR="007172E8">
          <w:rPr>
            <w:webHidden/>
          </w:rPr>
          <w:instrText xml:space="preserve"> PAGEREF _Toc214025305 \h </w:instrText>
        </w:r>
        <w:r w:rsidR="007172E8">
          <w:rPr>
            <w:webHidden/>
          </w:rPr>
        </w:r>
        <w:r w:rsidR="007172E8">
          <w:rPr>
            <w:webHidden/>
          </w:rPr>
          <w:fldChar w:fldCharType="separate"/>
        </w:r>
        <w:r w:rsidR="007172E8">
          <w:rPr>
            <w:webHidden/>
          </w:rPr>
          <w:t>88</w:t>
        </w:r>
        <w:r w:rsidR="007172E8">
          <w:rPr>
            <w:webHidden/>
          </w:rPr>
          <w:fldChar w:fldCharType="end"/>
        </w:r>
      </w:hyperlink>
    </w:p>
    <w:p w14:paraId="68DE6A27" w14:textId="027ACEFA" w:rsidR="007172E8" w:rsidRDefault="008A043C">
      <w:pPr>
        <w:pStyle w:val="Spistreci2"/>
        <w:rPr>
          <w:rFonts w:asciiTheme="minorHAnsi" w:eastAsiaTheme="minorEastAsia" w:hAnsiTheme="minorHAnsi" w:cstheme="minorBidi"/>
          <w:bCs w:val="0"/>
          <w:iCs w:val="0"/>
          <w:sz w:val="22"/>
          <w:lang w:eastAsia="pl-PL"/>
        </w:rPr>
      </w:pPr>
      <w:hyperlink w:anchor="_Toc214025306" w:history="1">
        <w:r w:rsidR="007172E8" w:rsidRPr="00AC464B">
          <w:rPr>
            <w:rStyle w:val="Hipercze"/>
          </w:rPr>
          <w:t>14.3. Postępy w realizacji wszelkich przedsięwzięć międzyregionalnych i transnarodowych</w:t>
        </w:r>
        <w:r w:rsidR="007172E8">
          <w:rPr>
            <w:webHidden/>
          </w:rPr>
          <w:tab/>
        </w:r>
        <w:r w:rsidR="007172E8">
          <w:rPr>
            <w:webHidden/>
          </w:rPr>
          <w:fldChar w:fldCharType="begin"/>
        </w:r>
        <w:r w:rsidR="007172E8">
          <w:rPr>
            <w:webHidden/>
          </w:rPr>
          <w:instrText xml:space="preserve"> PAGEREF _Toc214025306 \h </w:instrText>
        </w:r>
        <w:r w:rsidR="007172E8">
          <w:rPr>
            <w:webHidden/>
          </w:rPr>
        </w:r>
        <w:r w:rsidR="007172E8">
          <w:rPr>
            <w:webHidden/>
          </w:rPr>
          <w:fldChar w:fldCharType="separate"/>
        </w:r>
        <w:r w:rsidR="007172E8">
          <w:rPr>
            <w:webHidden/>
          </w:rPr>
          <w:t>90</w:t>
        </w:r>
        <w:r w:rsidR="007172E8">
          <w:rPr>
            <w:webHidden/>
          </w:rPr>
          <w:fldChar w:fldCharType="end"/>
        </w:r>
      </w:hyperlink>
    </w:p>
    <w:p w14:paraId="379B5B0C" w14:textId="38109A13" w:rsidR="007172E8" w:rsidRDefault="008A043C">
      <w:pPr>
        <w:pStyle w:val="Spistreci2"/>
        <w:rPr>
          <w:rFonts w:asciiTheme="minorHAnsi" w:eastAsiaTheme="minorEastAsia" w:hAnsiTheme="minorHAnsi" w:cstheme="minorBidi"/>
          <w:bCs w:val="0"/>
          <w:iCs w:val="0"/>
          <w:sz w:val="22"/>
          <w:lang w:eastAsia="pl-PL"/>
        </w:rPr>
      </w:pPr>
      <w:hyperlink w:anchor="_Toc214025307" w:history="1">
        <w:r w:rsidR="007172E8" w:rsidRPr="00AC464B">
          <w:rPr>
            <w:rStyle w:val="Hipercze"/>
          </w:rPr>
          <w:t>14.4. W stosownych przypadkach — wkład w strategie makroregionalne i strategie morskie</w:t>
        </w:r>
        <w:r w:rsidR="007172E8">
          <w:rPr>
            <w:webHidden/>
          </w:rPr>
          <w:tab/>
        </w:r>
        <w:r w:rsidR="007172E8">
          <w:rPr>
            <w:webHidden/>
          </w:rPr>
          <w:fldChar w:fldCharType="begin"/>
        </w:r>
        <w:r w:rsidR="007172E8">
          <w:rPr>
            <w:webHidden/>
          </w:rPr>
          <w:instrText xml:space="preserve"> PAGEREF _Toc214025307 \h </w:instrText>
        </w:r>
        <w:r w:rsidR="007172E8">
          <w:rPr>
            <w:webHidden/>
          </w:rPr>
        </w:r>
        <w:r w:rsidR="007172E8">
          <w:rPr>
            <w:webHidden/>
          </w:rPr>
          <w:fldChar w:fldCharType="separate"/>
        </w:r>
        <w:r w:rsidR="007172E8">
          <w:rPr>
            <w:webHidden/>
          </w:rPr>
          <w:t>90</w:t>
        </w:r>
        <w:r w:rsidR="007172E8">
          <w:rPr>
            <w:webHidden/>
          </w:rPr>
          <w:fldChar w:fldCharType="end"/>
        </w:r>
      </w:hyperlink>
    </w:p>
    <w:p w14:paraId="5E009F05" w14:textId="1A01D292" w:rsidR="007172E8" w:rsidRDefault="008A043C">
      <w:pPr>
        <w:pStyle w:val="Spistreci2"/>
        <w:rPr>
          <w:rFonts w:asciiTheme="minorHAnsi" w:eastAsiaTheme="minorEastAsia" w:hAnsiTheme="minorHAnsi" w:cstheme="minorBidi"/>
          <w:bCs w:val="0"/>
          <w:iCs w:val="0"/>
          <w:sz w:val="22"/>
          <w:lang w:eastAsia="pl-PL"/>
        </w:rPr>
      </w:pPr>
      <w:hyperlink w:anchor="_Toc214025308" w:history="1">
        <w:r w:rsidR="007172E8" w:rsidRPr="00AC464B">
          <w:rPr>
            <w:rStyle w:val="Hipercze"/>
          </w:rPr>
          <w:t>14.5. W stosownych przypadkach — postępy w realizacji przedsięwzięć w dziedzinie innowacji społecznych</w:t>
        </w:r>
        <w:r w:rsidR="007172E8">
          <w:rPr>
            <w:webHidden/>
          </w:rPr>
          <w:tab/>
        </w:r>
        <w:r w:rsidR="007172E8">
          <w:rPr>
            <w:webHidden/>
          </w:rPr>
          <w:fldChar w:fldCharType="begin"/>
        </w:r>
        <w:r w:rsidR="007172E8">
          <w:rPr>
            <w:webHidden/>
          </w:rPr>
          <w:instrText xml:space="preserve"> PAGEREF _Toc214025308 \h </w:instrText>
        </w:r>
        <w:r w:rsidR="007172E8">
          <w:rPr>
            <w:webHidden/>
          </w:rPr>
        </w:r>
        <w:r w:rsidR="007172E8">
          <w:rPr>
            <w:webHidden/>
          </w:rPr>
          <w:fldChar w:fldCharType="separate"/>
        </w:r>
        <w:r w:rsidR="007172E8">
          <w:rPr>
            <w:webHidden/>
          </w:rPr>
          <w:t>91</w:t>
        </w:r>
        <w:r w:rsidR="007172E8">
          <w:rPr>
            <w:webHidden/>
          </w:rPr>
          <w:fldChar w:fldCharType="end"/>
        </w:r>
      </w:hyperlink>
    </w:p>
    <w:p w14:paraId="58E15D7A" w14:textId="01E8CFEA" w:rsidR="007172E8" w:rsidRDefault="008A043C">
      <w:pPr>
        <w:pStyle w:val="Spistreci2"/>
        <w:rPr>
          <w:rFonts w:asciiTheme="minorHAnsi" w:eastAsiaTheme="minorEastAsia" w:hAnsiTheme="minorHAnsi" w:cstheme="minorBidi"/>
          <w:bCs w:val="0"/>
          <w:iCs w:val="0"/>
          <w:sz w:val="22"/>
          <w:lang w:eastAsia="pl-PL"/>
        </w:rPr>
      </w:pPr>
      <w:hyperlink w:anchor="_Toc214025309" w:history="1">
        <w:r w:rsidR="007172E8" w:rsidRPr="00AC464B">
          <w:rPr>
            <w:rStyle w:val="Hipercze"/>
          </w:rPr>
          <w:t>14.6 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z niepełnosprawnościami, długotrwale bezrobotnych oraz młodych ludzi, którzy nie pracują, w tym, w stosownych przypadkach, wykorzystane środki finansowe.</w:t>
        </w:r>
        <w:r w:rsidR="007172E8">
          <w:rPr>
            <w:webHidden/>
          </w:rPr>
          <w:tab/>
        </w:r>
        <w:r w:rsidR="007172E8">
          <w:rPr>
            <w:webHidden/>
          </w:rPr>
          <w:fldChar w:fldCharType="begin"/>
        </w:r>
        <w:r w:rsidR="007172E8">
          <w:rPr>
            <w:webHidden/>
          </w:rPr>
          <w:instrText xml:space="preserve"> PAGEREF _Toc214025309 \h </w:instrText>
        </w:r>
        <w:r w:rsidR="007172E8">
          <w:rPr>
            <w:webHidden/>
          </w:rPr>
        </w:r>
        <w:r w:rsidR="007172E8">
          <w:rPr>
            <w:webHidden/>
          </w:rPr>
          <w:fldChar w:fldCharType="separate"/>
        </w:r>
        <w:r w:rsidR="007172E8">
          <w:rPr>
            <w:webHidden/>
          </w:rPr>
          <w:t>91</w:t>
        </w:r>
        <w:r w:rsidR="007172E8">
          <w:rPr>
            <w:webHidden/>
          </w:rPr>
          <w:fldChar w:fldCharType="end"/>
        </w:r>
      </w:hyperlink>
    </w:p>
    <w:p w14:paraId="58CC0948" w14:textId="3E0F36A3" w:rsidR="007172E8" w:rsidRDefault="008A043C">
      <w:pPr>
        <w:pStyle w:val="Spistreci1"/>
        <w:rPr>
          <w:rFonts w:asciiTheme="minorHAnsi" w:eastAsiaTheme="minorEastAsia" w:hAnsiTheme="minorHAnsi" w:cstheme="minorBidi"/>
          <w:noProof/>
          <w:sz w:val="22"/>
          <w:lang w:eastAsia="pl-PL"/>
        </w:rPr>
      </w:pPr>
      <w:hyperlink w:anchor="_Toc214025310" w:history="1">
        <w:r w:rsidR="007172E8" w:rsidRPr="00AC464B">
          <w:rPr>
            <w:rStyle w:val="Hipercze"/>
            <w:rFonts w:cs="Arial"/>
            <w:noProof/>
          </w:rPr>
          <w:t>15. Informacja finansowa na poziomie osi priorytetowych i poziomie programu (art. 21 ust. 2 i art. 22 ust. 7 rozporządzenia ogólnego)</w:t>
        </w:r>
        <w:r w:rsidR="007172E8">
          <w:rPr>
            <w:noProof/>
            <w:webHidden/>
          </w:rPr>
          <w:tab/>
        </w:r>
        <w:r w:rsidR="007172E8">
          <w:rPr>
            <w:noProof/>
            <w:webHidden/>
          </w:rPr>
          <w:fldChar w:fldCharType="begin"/>
        </w:r>
        <w:r w:rsidR="007172E8">
          <w:rPr>
            <w:noProof/>
            <w:webHidden/>
          </w:rPr>
          <w:instrText xml:space="preserve"> PAGEREF _Toc214025310 \h </w:instrText>
        </w:r>
        <w:r w:rsidR="007172E8">
          <w:rPr>
            <w:noProof/>
            <w:webHidden/>
          </w:rPr>
        </w:r>
        <w:r w:rsidR="007172E8">
          <w:rPr>
            <w:noProof/>
            <w:webHidden/>
          </w:rPr>
          <w:fldChar w:fldCharType="separate"/>
        </w:r>
        <w:r w:rsidR="007172E8">
          <w:rPr>
            <w:noProof/>
            <w:webHidden/>
          </w:rPr>
          <w:t>93</w:t>
        </w:r>
        <w:r w:rsidR="007172E8">
          <w:rPr>
            <w:noProof/>
            <w:webHidden/>
          </w:rPr>
          <w:fldChar w:fldCharType="end"/>
        </w:r>
      </w:hyperlink>
    </w:p>
    <w:p w14:paraId="268CE194" w14:textId="1C3F62CC" w:rsidR="007172E8" w:rsidRDefault="008A043C">
      <w:pPr>
        <w:pStyle w:val="Spistreci1"/>
        <w:rPr>
          <w:rFonts w:asciiTheme="minorHAnsi" w:eastAsiaTheme="minorEastAsia" w:hAnsiTheme="minorHAnsi" w:cstheme="minorBidi"/>
          <w:noProof/>
          <w:sz w:val="22"/>
          <w:lang w:eastAsia="pl-PL"/>
        </w:rPr>
      </w:pPr>
      <w:hyperlink w:anchor="_Toc214025311" w:history="1">
        <w:r w:rsidR="007172E8" w:rsidRPr="00AC464B">
          <w:rPr>
            <w:rStyle w:val="Hipercze"/>
            <w:rFonts w:cs="Arial"/>
            <w:noProof/>
          </w:rPr>
          <w:t>16. Inteligentny, trwały wzrost gospodarczy sprzyjający włączeniu społecznemu (sprawozdanie z postępów osiągniętych w ramach danego wariantu)</w:t>
        </w:r>
        <w:r w:rsidR="007172E8">
          <w:rPr>
            <w:noProof/>
            <w:webHidden/>
          </w:rPr>
          <w:tab/>
        </w:r>
        <w:r w:rsidR="007172E8">
          <w:rPr>
            <w:noProof/>
            <w:webHidden/>
          </w:rPr>
          <w:fldChar w:fldCharType="begin"/>
        </w:r>
        <w:r w:rsidR="007172E8">
          <w:rPr>
            <w:noProof/>
            <w:webHidden/>
          </w:rPr>
          <w:instrText xml:space="preserve"> PAGEREF _Toc214025311 \h </w:instrText>
        </w:r>
        <w:r w:rsidR="007172E8">
          <w:rPr>
            <w:noProof/>
            <w:webHidden/>
          </w:rPr>
        </w:r>
        <w:r w:rsidR="007172E8">
          <w:rPr>
            <w:noProof/>
            <w:webHidden/>
          </w:rPr>
          <w:fldChar w:fldCharType="separate"/>
        </w:r>
        <w:r w:rsidR="007172E8">
          <w:rPr>
            <w:noProof/>
            <w:webHidden/>
          </w:rPr>
          <w:t>93</w:t>
        </w:r>
        <w:r w:rsidR="007172E8">
          <w:rPr>
            <w:noProof/>
            <w:webHidden/>
          </w:rPr>
          <w:fldChar w:fldCharType="end"/>
        </w:r>
      </w:hyperlink>
    </w:p>
    <w:p w14:paraId="05B6BD1E" w14:textId="10112AAB" w:rsidR="007172E8" w:rsidRDefault="008A043C">
      <w:pPr>
        <w:pStyle w:val="Spistreci1"/>
        <w:rPr>
          <w:rFonts w:asciiTheme="minorHAnsi" w:eastAsiaTheme="minorEastAsia" w:hAnsiTheme="minorHAnsi" w:cstheme="minorBidi"/>
          <w:noProof/>
          <w:sz w:val="22"/>
          <w:lang w:eastAsia="pl-PL"/>
        </w:rPr>
      </w:pPr>
      <w:hyperlink w:anchor="_Toc214025312" w:history="1">
        <w:r w:rsidR="007172E8" w:rsidRPr="00AC464B">
          <w:rPr>
            <w:rStyle w:val="Hipercze"/>
            <w:rFonts w:cs="Arial"/>
            <w:noProof/>
          </w:rPr>
          <w:t>17. Kwestie mające wpływ na wykonanie programu i podjęte działania — ramy wykonania (art. 50 ust.2 rozporządzenia ogólnego)</w:t>
        </w:r>
        <w:r w:rsidR="007172E8">
          <w:rPr>
            <w:noProof/>
            <w:webHidden/>
          </w:rPr>
          <w:tab/>
        </w:r>
        <w:r w:rsidR="007172E8">
          <w:rPr>
            <w:noProof/>
            <w:webHidden/>
          </w:rPr>
          <w:fldChar w:fldCharType="begin"/>
        </w:r>
        <w:r w:rsidR="007172E8">
          <w:rPr>
            <w:noProof/>
            <w:webHidden/>
          </w:rPr>
          <w:instrText xml:space="preserve"> PAGEREF _Toc214025312 \h </w:instrText>
        </w:r>
        <w:r w:rsidR="007172E8">
          <w:rPr>
            <w:noProof/>
            <w:webHidden/>
          </w:rPr>
        </w:r>
        <w:r w:rsidR="007172E8">
          <w:rPr>
            <w:noProof/>
            <w:webHidden/>
          </w:rPr>
          <w:fldChar w:fldCharType="separate"/>
        </w:r>
        <w:r w:rsidR="007172E8">
          <w:rPr>
            <w:noProof/>
            <w:webHidden/>
          </w:rPr>
          <w:t>95</w:t>
        </w:r>
        <w:r w:rsidR="007172E8">
          <w:rPr>
            <w:noProof/>
            <w:webHidden/>
          </w:rPr>
          <w:fldChar w:fldCharType="end"/>
        </w:r>
      </w:hyperlink>
    </w:p>
    <w:p w14:paraId="4E81CCEA" w14:textId="75DA2075" w:rsidR="007172E8" w:rsidRDefault="008A043C">
      <w:pPr>
        <w:pStyle w:val="Spistreci1"/>
        <w:rPr>
          <w:rFonts w:asciiTheme="minorHAnsi" w:eastAsiaTheme="minorEastAsia" w:hAnsiTheme="minorHAnsi" w:cstheme="minorBidi"/>
          <w:noProof/>
          <w:sz w:val="22"/>
          <w:lang w:eastAsia="pl-PL"/>
        </w:rPr>
      </w:pPr>
      <w:hyperlink w:anchor="_Toc214025313" w:history="1">
        <w:r w:rsidR="007172E8" w:rsidRPr="00AC464B">
          <w:rPr>
            <w:rStyle w:val="Hipercze"/>
            <w:rFonts w:cs="Arial"/>
            <w:noProof/>
          </w:rPr>
          <w:t>18. Inicjatywa na rzecz zatrudnienia ludzi młodych art. 19 ust. 4 i 6 rozporządzenia (UE) nr 1304/2013 (w stosownych przypadkach)</w:t>
        </w:r>
        <w:r w:rsidR="007172E8">
          <w:rPr>
            <w:noProof/>
            <w:webHidden/>
          </w:rPr>
          <w:tab/>
        </w:r>
        <w:r w:rsidR="007172E8">
          <w:rPr>
            <w:noProof/>
            <w:webHidden/>
          </w:rPr>
          <w:fldChar w:fldCharType="begin"/>
        </w:r>
        <w:r w:rsidR="007172E8">
          <w:rPr>
            <w:noProof/>
            <w:webHidden/>
          </w:rPr>
          <w:instrText xml:space="preserve"> PAGEREF _Toc214025313 \h </w:instrText>
        </w:r>
        <w:r w:rsidR="007172E8">
          <w:rPr>
            <w:noProof/>
            <w:webHidden/>
          </w:rPr>
        </w:r>
        <w:r w:rsidR="007172E8">
          <w:rPr>
            <w:noProof/>
            <w:webHidden/>
          </w:rPr>
          <w:fldChar w:fldCharType="separate"/>
        </w:r>
        <w:r w:rsidR="007172E8">
          <w:rPr>
            <w:noProof/>
            <w:webHidden/>
          </w:rPr>
          <w:t>95</w:t>
        </w:r>
        <w:r w:rsidR="007172E8">
          <w:rPr>
            <w:noProof/>
            <w:webHidden/>
          </w:rPr>
          <w:fldChar w:fldCharType="end"/>
        </w:r>
      </w:hyperlink>
    </w:p>
    <w:p w14:paraId="649EFC81" w14:textId="6DDF751B" w:rsidR="007172E8" w:rsidRDefault="008A043C">
      <w:pPr>
        <w:pStyle w:val="Spistreci1"/>
        <w:rPr>
          <w:rFonts w:asciiTheme="minorHAnsi" w:eastAsiaTheme="minorEastAsia" w:hAnsiTheme="minorHAnsi" w:cstheme="minorBidi"/>
          <w:noProof/>
          <w:sz w:val="22"/>
          <w:lang w:eastAsia="pl-PL"/>
        </w:rPr>
      </w:pPr>
      <w:hyperlink w:anchor="_Toc214025314" w:history="1">
        <w:r w:rsidR="007172E8" w:rsidRPr="00AC464B">
          <w:rPr>
            <w:rStyle w:val="Hipercze"/>
            <w:rFonts w:cs="Arial"/>
            <w:noProof/>
          </w:rPr>
          <w:t>Spis załączników</w:t>
        </w:r>
        <w:r w:rsidR="007172E8">
          <w:rPr>
            <w:noProof/>
            <w:webHidden/>
          </w:rPr>
          <w:tab/>
        </w:r>
        <w:r w:rsidR="007172E8">
          <w:rPr>
            <w:noProof/>
            <w:webHidden/>
          </w:rPr>
          <w:fldChar w:fldCharType="begin"/>
        </w:r>
        <w:r w:rsidR="007172E8">
          <w:rPr>
            <w:noProof/>
            <w:webHidden/>
          </w:rPr>
          <w:instrText xml:space="preserve"> PAGEREF _Toc214025314 \h </w:instrText>
        </w:r>
        <w:r w:rsidR="007172E8">
          <w:rPr>
            <w:noProof/>
            <w:webHidden/>
          </w:rPr>
        </w:r>
        <w:r w:rsidR="007172E8">
          <w:rPr>
            <w:noProof/>
            <w:webHidden/>
          </w:rPr>
          <w:fldChar w:fldCharType="separate"/>
        </w:r>
        <w:r w:rsidR="007172E8">
          <w:rPr>
            <w:noProof/>
            <w:webHidden/>
          </w:rPr>
          <w:t>95</w:t>
        </w:r>
        <w:r w:rsidR="007172E8">
          <w:rPr>
            <w:noProof/>
            <w:webHidden/>
          </w:rPr>
          <w:fldChar w:fldCharType="end"/>
        </w:r>
      </w:hyperlink>
    </w:p>
    <w:p w14:paraId="1631DF6F" w14:textId="4F8D8A03" w:rsidR="0053561B" w:rsidRPr="00211D94" w:rsidRDefault="0002431D" w:rsidP="00F55865">
      <w:pPr>
        <w:spacing w:before="120" w:after="120"/>
        <w:rPr>
          <w:rFonts w:cs="Arial"/>
          <w:szCs w:val="24"/>
        </w:rPr>
      </w:pPr>
      <w:r w:rsidRPr="00211D94">
        <w:rPr>
          <w:rFonts w:cs="Arial"/>
          <w:szCs w:val="24"/>
        </w:rPr>
        <w:fldChar w:fldCharType="end"/>
      </w:r>
      <w:bookmarkStart w:id="2" w:name="_Toc511382662"/>
      <w:bookmarkStart w:id="3" w:name="_Toc511382663"/>
    </w:p>
    <w:p w14:paraId="2E3B60E1" w14:textId="77777777" w:rsidR="00A43CA7" w:rsidRPr="00211D94" w:rsidRDefault="00A43CA7">
      <w:pPr>
        <w:spacing w:after="0" w:line="240" w:lineRule="auto"/>
        <w:rPr>
          <w:rFonts w:eastAsia="Times New Roman"/>
          <w:bCs/>
          <w:color w:val="FFFFFF"/>
          <w:kern w:val="32"/>
          <w:sz w:val="32"/>
          <w:szCs w:val="32"/>
        </w:rPr>
      </w:pPr>
      <w:r w:rsidRPr="00211D94">
        <w:br w:type="page"/>
      </w:r>
    </w:p>
    <w:p w14:paraId="71DA4402" w14:textId="34B566F4" w:rsidR="0075579D" w:rsidRPr="00211D94" w:rsidRDefault="00C5380A" w:rsidP="008D7D22">
      <w:pPr>
        <w:pStyle w:val="Nagwek1"/>
        <w:rPr>
          <w:szCs w:val="24"/>
        </w:rPr>
      </w:pPr>
      <w:bookmarkStart w:id="4" w:name="_Toc214025243"/>
      <w:r w:rsidRPr="00211D94">
        <w:t xml:space="preserve">Wykaz </w:t>
      </w:r>
      <w:bookmarkEnd w:id="2"/>
      <w:r w:rsidRPr="00211D94">
        <w:t>użytych skrótów</w:t>
      </w:r>
      <w:bookmarkEnd w:id="4"/>
    </w:p>
    <w:p w14:paraId="03A57FC7" w14:textId="754A1928" w:rsidR="009F45F7" w:rsidRPr="00211D94" w:rsidRDefault="009F45F7" w:rsidP="00E7599C">
      <w:pPr>
        <w:spacing w:before="120" w:after="120"/>
        <w:ind w:left="3119" w:hanging="3119"/>
        <w:rPr>
          <w:rFonts w:cs="Arial"/>
          <w:szCs w:val="24"/>
        </w:rPr>
      </w:pPr>
      <w:r w:rsidRPr="00211D94">
        <w:rPr>
          <w:rFonts w:cs="Arial"/>
          <w:szCs w:val="24"/>
        </w:rPr>
        <w:t>ARP</w:t>
      </w:r>
      <w:r w:rsidRPr="00211D94">
        <w:rPr>
          <w:rFonts w:cs="Arial"/>
          <w:szCs w:val="24"/>
        </w:rPr>
        <w:tab/>
        <w:t>Agencja Rozwoju Pomorza SA</w:t>
      </w:r>
    </w:p>
    <w:p w14:paraId="36B3F6F6" w14:textId="5A3619B7" w:rsidR="009F45F7" w:rsidRPr="00211D94" w:rsidRDefault="009F45F7" w:rsidP="00E7599C">
      <w:pPr>
        <w:spacing w:before="120" w:after="120"/>
        <w:ind w:left="3119" w:hanging="3119"/>
        <w:rPr>
          <w:rFonts w:cs="Arial"/>
          <w:szCs w:val="24"/>
        </w:rPr>
      </w:pPr>
      <w:r w:rsidRPr="00211D94">
        <w:rPr>
          <w:rFonts w:cs="Arial"/>
          <w:szCs w:val="24"/>
        </w:rPr>
        <w:t>BGK</w:t>
      </w:r>
      <w:r w:rsidRPr="00211D94">
        <w:rPr>
          <w:rFonts w:cs="Arial"/>
          <w:szCs w:val="24"/>
        </w:rPr>
        <w:tab/>
      </w:r>
      <w:r w:rsidR="00342137" w:rsidRPr="00211D94">
        <w:rPr>
          <w:rFonts w:cs="Arial"/>
          <w:szCs w:val="24"/>
        </w:rPr>
        <w:t>Bank Gospodarstwa Krajowego</w:t>
      </w:r>
    </w:p>
    <w:p w14:paraId="68855C8E" w14:textId="6AF45B00" w:rsidR="00C21CA4" w:rsidRPr="00211D94" w:rsidRDefault="00C21CA4" w:rsidP="00C21CA4">
      <w:pPr>
        <w:spacing w:before="120" w:after="120"/>
        <w:ind w:left="3119" w:hanging="3119"/>
        <w:rPr>
          <w:rFonts w:cs="Arial"/>
          <w:szCs w:val="24"/>
        </w:rPr>
      </w:pPr>
      <w:r w:rsidRPr="00211D94">
        <w:rPr>
          <w:rFonts w:cs="Arial"/>
          <w:szCs w:val="24"/>
        </w:rPr>
        <w:t>B+R</w:t>
      </w:r>
      <w:r w:rsidRPr="00211D94">
        <w:rPr>
          <w:rFonts w:cs="Arial"/>
          <w:szCs w:val="24"/>
        </w:rPr>
        <w:tab/>
        <w:t>Badania i rozwój</w:t>
      </w:r>
    </w:p>
    <w:p w14:paraId="5D6FFF5B" w14:textId="0BA1C9E5" w:rsidR="007B315B" w:rsidRPr="00211D94" w:rsidRDefault="007B315B" w:rsidP="00E7599C">
      <w:pPr>
        <w:spacing w:before="120" w:after="120"/>
        <w:ind w:left="3119" w:hanging="3119"/>
        <w:rPr>
          <w:rFonts w:cs="Arial"/>
          <w:szCs w:val="24"/>
        </w:rPr>
      </w:pPr>
      <w:proofErr w:type="spellStart"/>
      <w:r w:rsidRPr="00211D94">
        <w:rPr>
          <w:rFonts w:cs="Arial"/>
          <w:szCs w:val="24"/>
        </w:rPr>
        <w:t>Dof</w:t>
      </w:r>
      <w:proofErr w:type="spellEnd"/>
      <w:r w:rsidRPr="00211D94">
        <w:rPr>
          <w:rFonts w:cs="Arial"/>
          <w:szCs w:val="24"/>
        </w:rPr>
        <w:t>.</w:t>
      </w:r>
      <w:r w:rsidR="001D494D" w:rsidRPr="00211D94">
        <w:rPr>
          <w:rFonts w:cs="Arial"/>
          <w:szCs w:val="24"/>
        </w:rPr>
        <w:t xml:space="preserve"> </w:t>
      </w:r>
      <w:r w:rsidRPr="00211D94">
        <w:rPr>
          <w:rFonts w:cs="Arial"/>
          <w:szCs w:val="24"/>
        </w:rPr>
        <w:t>UE</w:t>
      </w:r>
      <w:r w:rsidRPr="00211D94">
        <w:rPr>
          <w:rFonts w:cs="Arial"/>
          <w:szCs w:val="24"/>
        </w:rPr>
        <w:tab/>
      </w:r>
      <w:r w:rsidR="00E7599C" w:rsidRPr="00211D94">
        <w:rPr>
          <w:rFonts w:cs="Arial"/>
          <w:szCs w:val="24"/>
        </w:rPr>
        <w:t>D</w:t>
      </w:r>
      <w:r w:rsidRPr="00211D94">
        <w:rPr>
          <w:rFonts w:cs="Arial"/>
          <w:szCs w:val="24"/>
        </w:rPr>
        <w:t>ofinansowanie z Unii Europejskiej</w:t>
      </w:r>
    </w:p>
    <w:p w14:paraId="5B18AB35" w14:textId="76B5CEB6" w:rsidR="00342137" w:rsidRPr="00211D94" w:rsidRDefault="00342137" w:rsidP="008B3DAE">
      <w:pPr>
        <w:spacing w:before="120" w:after="120"/>
        <w:ind w:left="3119" w:hanging="3119"/>
        <w:rPr>
          <w:rFonts w:cs="Arial"/>
          <w:szCs w:val="24"/>
        </w:rPr>
      </w:pPr>
      <w:r w:rsidRPr="00211D94">
        <w:rPr>
          <w:rFonts w:cs="Arial"/>
          <w:szCs w:val="24"/>
        </w:rPr>
        <w:t>EBI</w:t>
      </w:r>
      <w:r w:rsidRPr="00211D94">
        <w:rPr>
          <w:rFonts w:cs="Arial"/>
          <w:szCs w:val="24"/>
        </w:rPr>
        <w:tab/>
        <w:t>Europejski Bank Inwestycyjny</w:t>
      </w:r>
    </w:p>
    <w:p w14:paraId="2F184A24" w14:textId="15DC94EA" w:rsidR="00E7599C" w:rsidRPr="00211D94" w:rsidRDefault="00E7599C" w:rsidP="00E7599C">
      <w:pPr>
        <w:spacing w:before="120" w:after="120"/>
        <w:ind w:left="3119" w:hanging="3119"/>
        <w:rPr>
          <w:rFonts w:cs="Arial"/>
          <w:szCs w:val="24"/>
        </w:rPr>
      </w:pPr>
      <w:r w:rsidRPr="00211D94">
        <w:rPr>
          <w:rFonts w:cs="Arial"/>
          <w:szCs w:val="24"/>
        </w:rPr>
        <w:t>EFRR</w:t>
      </w:r>
      <w:r w:rsidRPr="00211D94">
        <w:rPr>
          <w:rFonts w:cs="Arial"/>
          <w:szCs w:val="24"/>
        </w:rPr>
        <w:tab/>
        <w:t>Europejski Fundusz Rozwoju Regionalnego</w:t>
      </w:r>
    </w:p>
    <w:p w14:paraId="2CA41F00" w14:textId="34CFF134" w:rsidR="0075579D" w:rsidRPr="00211D94" w:rsidRDefault="0075579D" w:rsidP="00E7599C">
      <w:pPr>
        <w:spacing w:before="120" w:after="120"/>
        <w:ind w:left="3119" w:hanging="3119"/>
        <w:rPr>
          <w:rFonts w:cs="Arial"/>
          <w:szCs w:val="24"/>
        </w:rPr>
      </w:pPr>
      <w:r w:rsidRPr="00211D94">
        <w:rPr>
          <w:rFonts w:cs="Arial"/>
          <w:szCs w:val="24"/>
        </w:rPr>
        <w:t>EFS</w:t>
      </w:r>
      <w:r w:rsidRPr="00211D94">
        <w:rPr>
          <w:rFonts w:cs="Arial"/>
          <w:szCs w:val="24"/>
        </w:rPr>
        <w:tab/>
        <w:t>Europejski Fundusz Społeczny</w:t>
      </w:r>
    </w:p>
    <w:p w14:paraId="28652ECF" w14:textId="65EAE3D3" w:rsidR="007A6DBF" w:rsidRPr="00211D94" w:rsidRDefault="007A6DBF" w:rsidP="007A6DBF">
      <w:pPr>
        <w:spacing w:before="120" w:after="120"/>
        <w:ind w:left="3119" w:hanging="3119"/>
        <w:rPr>
          <w:rFonts w:cs="Arial"/>
          <w:szCs w:val="24"/>
        </w:rPr>
      </w:pPr>
      <w:r w:rsidRPr="00211D94">
        <w:rPr>
          <w:rFonts w:cs="Arial"/>
          <w:szCs w:val="24"/>
        </w:rPr>
        <w:t>FEP 2021-2027</w:t>
      </w:r>
      <w:r w:rsidRPr="00211D94">
        <w:rPr>
          <w:rFonts w:cs="Arial"/>
          <w:szCs w:val="24"/>
        </w:rPr>
        <w:tab/>
        <w:t>Program Fundusze Europejskie dla Pomorza 21-27</w:t>
      </w:r>
    </w:p>
    <w:p w14:paraId="7F32F7CE" w14:textId="6792A35A" w:rsidR="008107A5" w:rsidRPr="00211D94" w:rsidRDefault="008107A5" w:rsidP="007A6DBF">
      <w:pPr>
        <w:spacing w:before="120" w:after="120"/>
        <w:ind w:left="3119" w:hanging="3119"/>
        <w:rPr>
          <w:rFonts w:cs="Arial"/>
          <w:szCs w:val="24"/>
        </w:rPr>
      </w:pPr>
      <w:r w:rsidRPr="00211D94">
        <w:rPr>
          <w:rFonts w:cs="Arial"/>
          <w:szCs w:val="24"/>
        </w:rPr>
        <w:t>GUS</w:t>
      </w:r>
      <w:r w:rsidRPr="00211D94">
        <w:rPr>
          <w:rFonts w:cs="Arial"/>
          <w:szCs w:val="24"/>
        </w:rPr>
        <w:tab/>
        <w:t>Główny Urząd Statystyczny</w:t>
      </w:r>
    </w:p>
    <w:p w14:paraId="7F09917A" w14:textId="78E43CA0" w:rsidR="00342137" w:rsidRPr="00211D94" w:rsidRDefault="00342137" w:rsidP="008B3DAE">
      <w:pPr>
        <w:spacing w:before="120" w:after="120"/>
        <w:ind w:left="3119" w:hanging="3119"/>
        <w:rPr>
          <w:rFonts w:cs="Arial"/>
          <w:szCs w:val="24"/>
        </w:rPr>
      </w:pPr>
      <w:r w:rsidRPr="00211D94">
        <w:rPr>
          <w:rFonts w:cs="Arial"/>
          <w:szCs w:val="24"/>
        </w:rPr>
        <w:t>IA</w:t>
      </w:r>
      <w:r w:rsidRPr="00211D94">
        <w:rPr>
          <w:rFonts w:cs="Arial"/>
          <w:szCs w:val="24"/>
        </w:rPr>
        <w:tab/>
        <w:t>Instytucja Audytowa</w:t>
      </w:r>
    </w:p>
    <w:p w14:paraId="2F460DC8" w14:textId="3A335D94" w:rsidR="0075579D" w:rsidRPr="00211D94" w:rsidRDefault="0075579D" w:rsidP="008B3DAE">
      <w:pPr>
        <w:spacing w:before="120" w:after="120"/>
        <w:ind w:left="3119" w:hanging="3119"/>
        <w:rPr>
          <w:rFonts w:cs="Arial"/>
          <w:szCs w:val="24"/>
        </w:rPr>
      </w:pPr>
      <w:r w:rsidRPr="00211D94">
        <w:rPr>
          <w:rFonts w:cs="Arial"/>
          <w:szCs w:val="24"/>
        </w:rPr>
        <w:t>IC</w:t>
      </w:r>
      <w:r w:rsidRPr="00211D94">
        <w:rPr>
          <w:rFonts w:cs="Arial"/>
          <w:szCs w:val="24"/>
        </w:rPr>
        <w:tab/>
        <w:t>Instytucja Certyfikująca</w:t>
      </w:r>
    </w:p>
    <w:p w14:paraId="5F99C883" w14:textId="0FF79E59" w:rsidR="00C21CA4" w:rsidRPr="00211D94" w:rsidRDefault="00C21CA4" w:rsidP="008B3DAE">
      <w:pPr>
        <w:spacing w:before="120" w:after="120"/>
        <w:ind w:left="3119" w:hanging="3119"/>
        <w:rPr>
          <w:rFonts w:cs="Arial"/>
          <w:szCs w:val="24"/>
        </w:rPr>
      </w:pPr>
      <w:r w:rsidRPr="00211D94">
        <w:rPr>
          <w:rFonts w:cs="Arial"/>
          <w:szCs w:val="24"/>
        </w:rPr>
        <w:t>IF</w:t>
      </w:r>
      <w:r w:rsidRPr="00211D94">
        <w:rPr>
          <w:rFonts w:cs="Arial"/>
          <w:szCs w:val="24"/>
        </w:rPr>
        <w:tab/>
        <w:t>Instrumenty finansowe</w:t>
      </w:r>
    </w:p>
    <w:p w14:paraId="29828264" w14:textId="339E1288" w:rsidR="0095222F" w:rsidRPr="00211D94" w:rsidRDefault="0095222F" w:rsidP="008B3DAE">
      <w:pPr>
        <w:spacing w:before="120" w:after="120"/>
        <w:ind w:left="3119" w:hanging="3119"/>
        <w:rPr>
          <w:rFonts w:cs="Arial"/>
          <w:szCs w:val="24"/>
        </w:rPr>
      </w:pPr>
      <w:r w:rsidRPr="00211D94">
        <w:rPr>
          <w:rFonts w:cs="Arial"/>
          <w:szCs w:val="24"/>
        </w:rPr>
        <w:t>IKUP</w:t>
      </w:r>
      <w:r w:rsidRPr="00211D94">
        <w:rPr>
          <w:rFonts w:cs="Arial"/>
          <w:szCs w:val="24"/>
        </w:rPr>
        <w:tab/>
        <w:t>Instytucja Koordynująca Umowę Partnerstwa</w:t>
      </w:r>
    </w:p>
    <w:p w14:paraId="5239BDAD" w14:textId="220F21AA" w:rsidR="008630CC" w:rsidRPr="00211D94" w:rsidRDefault="008630CC" w:rsidP="008B3DAE">
      <w:pPr>
        <w:spacing w:before="120" w:after="120"/>
        <w:ind w:left="3119" w:hanging="3119"/>
        <w:rPr>
          <w:rFonts w:cs="Arial"/>
          <w:szCs w:val="24"/>
        </w:rPr>
      </w:pPr>
      <w:r w:rsidRPr="00211D94">
        <w:rPr>
          <w:rFonts w:cs="Arial"/>
          <w:szCs w:val="24"/>
        </w:rPr>
        <w:t>IOB</w:t>
      </w:r>
      <w:r w:rsidRPr="00211D94">
        <w:rPr>
          <w:rFonts w:cs="Arial"/>
          <w:szCs w:val="24"/>
        </w:rPr>
        <w:tab/>
        <w:t>Instytucje otoczenia biznesu</w:t>
      </w:r>
    </w:p>
    <w:p w14:paraId="2D8B6FC6" w14:textId="66B0D50E" w:rsidR="0075579D" w:rsidRPr="00211D94" w:rsidRDefault="0075579D" w:rsidP="008B3DAE">
      <w:pPr>
        <w:spacing w:before="120" w:after="120"/>
        <w:ind w:left="3119" w:hanging="3119"/>
        <w:rPr>
          <w:rFonts w:cs="Arial"/>
          <w:szCs w:val="24"/>
        </w:rPr>
      </w:pPr>
      <w:r w:rsidRPr="00211D94">
        <w:rPr>
          <w:rFonts w:cs="Arial"/>
          <w:szCs w:val="24"/>
        </w:rPr>
        <w:t>IP</w:t>
      </w:r>
      <w:r w:rsidRPr="00211D94">
        <w:rPr>
          <w:rFonts w:cs="Arial"/>
          <w:szCs w:val="24"/>
        </w:rPr>
        <w:tab/>
        <w:t xml:space="preserve">Instytucja Pośrednicząca </w:t>
      </w:r>
    </w:p>
    <w:p w14:paraId="28EA7532" w14:textId="49518432" w:rsidR="0095222F" w:rsidRPr="00211D94" w:rsidRDefault="0095222F" w:rsidP="008B3DAE">
      <w:pPr>
        <w:spacing w:before="120" w:after="120"/>
        <w:ind w:left="3119" w:hanging="3119"/>
        <w:rPr>
          <w:rFonts w:cs="Arial"/>
          <w:szCs w:val="24"/>
        </w:rPr>
      </w:pPr>
      <w:r w:rsidRPr="00211D94">
        <w:rPr>
          <w:rFonts w:cs="Arial"/>
          <w:szCs w:val="24"/>
        </w:rPr>
        <w:t>ISP</w:t>
      </w:r>
      <w:r w:rsidRPr="00211D94">
        <w:rPr>
          <w:rFonts w:cs="Arial"/>
          <w:szCs w:val="24"/>
        </w:rPr>
        <w:tab/>
        <w:t>Inteligentne Specjalizacje Pomorza</w:t>
      </w:r>
    </w:p>
    <w:p w14:paraId="594BC8A8" w14:textId="08642635" w:rsidR="0075579D" w:rsidRPr="00211D94" w:rsidRDefault="0075579D" w:rsidP="008B3DAE">
      <w:pPr>
        <w:spacing w:before="120" w:after="120"/>
        <w:ind w:left="3119" w:hanging="3119"/>
        <w:rPr>
          <w:rFonts w:cs="Arial"/>
          <w:szCs w:val="24"/>
        </w:rPr>
      </w:pPr>
      <w:r w:rsidRPr="00211D94">
        <w:rPr>
          <w:rFonts w:cs="Arial"/>
          <w:szCs w:val="24"/>
        </w:rPr>
        <w:t>IZ RPO WP/IZ</w:t>
      </w:r>
      <w:r w:rsidR="006323F7" w:rsidRPr="00211D94">
        <w:rPr>
          <w:rFonts w:cs="Arial"/>
          <w:szCs w:val="24"/>
        </w:rPr>
        <w:t xml:space="preserve"> RPO/IZ</w:t>
      </w:r>
      <w:r w:rsidRPr="00211D94">
        <w:rPr>
          <w:rFonts w:cs="Arial"/>
          <w:szCs w:val="24"/>
        </w:rPr>
        <w:tab/>
        <w:t xml:space="preserve">Instytucja Zarządzająca </w:t>
      </w:r>
      <w:bookmarkStart w:id="5" w:name="_Hlk212634301"/>
      <w:r w:rsidRPr="00211D94">
        <w:rPr>
          <w:rFonts w:cs="Arial"/>
          <w:szCs w:val="24"/>
        </w:rPr>
        <w:t xml:space="preserve">Regionalnym Programem Operacyjnym Województwa Pomorskiego na lata </w:t>
      </w:r>
      <w:r w:rsidR="000A7128" w:rsidRPr="00211D94">
        <w:rPr>
          <w:rFonts w:cs="Arial"/>
          <w:szCs w:val="24"/>
        </w:rPr>
        <w:t xml:space="preserve">  </w:t>
      </w:r>
      <w:r w:rsidRPr="00211D94">
        <w:rPr>
          <w:rFonts w:cs="Arial"/>
          <w:szCs w:val="24"/>
        </w:rPr>
        <w:t>2014-2020</w:t>
      </w:r>
    </w:p>
    <w:bookmarkEnd w:id="5"/>
    <w:p w14:paraId="4B5DCB0B" w14:textId="77777777" w:rsidR="0075579D" w:rsidRPr="00211D94" w:rsidRDefault="0075579D" w:rsidP="008B3DAE">
      <w:pPr>
        <w:spacing w:before="120" w:after="120"/>
        <w:ind w:left="3119" w:hanging="3119"/>
        <w:rPr>
          <w:rFonts w:cs="Arial"/>
          <w:szCs w:val="24"/>
        </w:rPr>
      </w:pPr>
      <w:r w:rsidRPr="00211D94">
        <w:rPr>
          <w:rFonts w:cs="Arial"/>
          <w:szCs w:val="24"/>
        </w:rPr>
        <w:t>JST</w:t>
      </w:r>
      <w:r w:rsidRPr="00211D94">
        <w:rPr>
          <w:rFonts w:cs="Arial"/>
          <w:szCs w:val="24"/>
        </w:rPr>
        <w:tab/>
        <w:t>Jednostki samorządu terytorialnego</w:t>
      </w:r>
    </w:p>
    <w:p w14:paraId="6843420E" w14:textId="077F4B2A" w:rsidR="0075579D" w:rsidRPr="00211D94" w:rsidRDefault="0075579D" w:rsidP="00E7599C">
      <w:pPr>
        <w:spacing w:before="120" w:after="120"/>
        <w:ind w:left="3119" w:hanging="3119"/>
        <w:rPr>
          <w:rFonts w:cs="Arial"/>
          <w:szCs w:val="24"/>
        </w:rPr>
      </w:pPr>
      <w:r w:rsidRPr="00211D94">
        <w:rPr>
          <w:rFonts w:cs="Arial"/>
          <w:szCs w:val="24"/>
        </w:rPr>
        <w:t>KE</w:t>
      </w:r>
      <w:r w:rsidRPr="00211D94">
        <w:rPr>
          <w:rFonts w:cs="Arial"/>
          <w:szCs w:val="24"/>
        </w:rPr>
        <w:tab/>
        <w:t>Komisja Europejska</w:t>
      </w:r>
    </w:p>
    <w:p w14:paraId="39734108" w14:textId="1979D974" w:rsidR="00BA7E0B" w:rsidRPr="00211D94" w:rsidRDefault="00BA7E0B" w:rsidP="008B3DAE">
      <w:pPr>
        <w:spacing w:before="120" w:after="120"/>
        <w:ind w:left="3119" w:hanging="3119"/>
        <w:rPr>
          <w:rFonts w:cs="Arial"/>
          <w:szCs w:val="24"/>
        </w:rPr>
      </w:pPr>
      <w:r w:rsidRPr="00211D94">
        <w:rPr>
          <w:rFonts w:cs="Arial"/>
          <w:szCs w:val="24"/>
        </w:rPr>
        <w:t>KEW</w:t>
      </w:r>
      <w:r w:rsidR="000A7128" w:rsidRPr="00211D94">
        <w:rPr>
          <w:rFonts w:cs="Arial"/>
          <w:szCs w:val="24"/>
        </w:rPr>
        <w:tab/>
        <w:t>Kluczowy etap wdrażania</w:t>
      </w:r>
    </w:p>
    <w:p w14:paraId="7297E704" w14:textId="134E9989" w:rsidR="007A6DBF" w:rsidRPr="00211D94" w:rsidRDefault="007A6DBF" w:rsidP="008B3DAE">
      <w:pPr>
        <w:spacing w:before="120" w:after="120"/>
        <w:ind w:left="3119" w:hanging="3119"/>
        <w:rPr>
          <w:rFonts w:cs="Arial"/>
          <w:szCs w:val="24"/>
        </w:rPr>
      </w:pPr>
      <w:r w:rsidRPr="00211D94">
        <w:rPr>
          <w:rFonts w:cs="Arial"/>
          <w:szCs w:val="24"/>
        </w:rPr>
        <w:t>KM</w:t>
      </w:r>
      <w:r w:rsidRPr="00211D94">
        <w:rPr>
          <w:rFonts w:cs="Arial"/>
          <w:szCs w:val="24"/>
        </w:rPr>
        <w:tab/>
        <w:t>Komitet Monitorujący RPO WP</w:t>
      </w:r>
    </w:p>
    <w:p w14:paraId="12AC2FB1" w14:textId="2B28E06A" w:rsidR="00C21CA4" w:rsidRPr="00211D94" w:rsidRDefault="00C21CA4" w:rsidP="008B3DAE">
      <w:pPr>
        <w:spacing w:before="120" w:after="120"/>
        <w:ind w:left="3119" w:hanging="3119"/>
        <w:rPr>
          <w:rFonts w:cs="Arial"/>
          <w:szCs w:val="24"/>
        </w:rPr>
      </w:pPr>
      <w:r w:rsidRPr="00211D94">
        <w:rPr>
          <w:rFonts w:cs="Arial"/>
          <w:szCs w:val="24"/>
        </w:rPr>
        <w:t>MŚP</w:t>
      </w:r>
      <w:r w:rsidRPr="00211D94">
        <w:rPr>
          <w:rFonts w:cs="Arial"/>
          <w:szCs w:val="24"/>
        </w:rPr>
        <w:tab/>
        <w:t xml:space="preserve">Mikro, małe i średnie przedsiębiorstwa </w:t>
      </w:r>
    </w:p>
    <w:p w14:paraId="4046E25A" w14:textId="77777777" w:rsidR="0075579D" w:rsidRPr="00211D94" w:rsidRDefault="0075579D" w:rsidP="008B3DAE">
      <w:pPr>
        <w:spacing w:before="120" w:after="120"/>
        <w:ind w:left="3119" w:hanging="3119"/>
        <w:rPr>
          <w:rFonts w:cs="Arial"/>
          <w:szCs w:val="24"/>
        </w:rPr>
      </w:pPr>
      <w:r w:rsidRPr="00211D94">
        <w:rPr>
          <w:rFonts w:cs="Arial"/>
          <w:szCs w:val="24"/>
        </w:rPr>
        <w:t xml:space="preserve">NGO </w:t>
      </w:r>
      <w:r w:rsidRPr="00211D94">
        <w:rPr>
          <w:rFonts w:cs="Arial"/>
          <w:szCs w:val="24"/>
        </w:rPr>
        <w:tab/>
        <w:t>Organizacje pozarządowe</w:t>
      </w:r>
    </w:p>
    <w:p w14:paraId="7A6665F7" w14:textId="22B58DC0" w:rsidR="0075579D" w:rsidRPr="00211D94" w:rsidRDefault="0075579D" w:rsidP="00226738">
      <w:pPr>
        <w:spacing w:before="120" w:after="120"/>
        <w:ind w:left="3119" w:hanging="3119"/>
        <w:rPr>
          <w:rFonts w:cs="Arial"/>
          <w:szCs w:val="24"/>
        </w:rPr>
      </w:pPr>
      <w:r w:rsidRPr="00211D94">
        <w:rPr>
          <w:rFonts w:cs="Arial"/>
          <w:szCs w:val="24"/>
        </w:rPr>
        <w:t>OP</w:t>
      </w:r>
      <w:r w:rsidRPr="00211D94">
        <w:rPr>
          <w:rFonts w:cs="Arial"/>
          <w:szCs w:val="24"/>
        </w:rPr>
        <w:tab/>
        <w:t>Oś Priorytetowa</w:t>
      </w:r>
    </w:p>
    <w:p w14:paraId="2A0BB826" w14:textId="6FB86F93" w:rsidR="00226738" w:rsidRPr="00211D94" w:rsidRDefault="00226738" w:rsidP="008B3DAE">
      <w:pPr>
        <w:spacing w:before="120" w:after="120"/>
        <w:ind w:left="3119" w:hanging="3119"/>
        <w:rPr>
          <w:rFonts w:cs="Arial"/>
          <w:szCs w:val="24"/>
        </w:rPr>
      </w:pPr>
      <w:r w:rsidRPr="00211D94">
        <w:rPr>
          <w:rFonts w:cs="Arial"/>
          <w:szCs w:val="24"/>
        </w:rPr>
        <w:t>OZE</w:t>
      </w:r>
      <w:r w:rsidRPr="00211D94">
        <w:rPr>
          <w:rFonts w:cs="Arial"/>
          <w:szCs w:val="24"/>
        </w:rPr>
        <w:tab/>
        <w:t>Odnawialne źródła energii</w:t>
      </w:r>
    </w:p>
    <w:p w14:paraId="4562BBAD" w14:textId="77777777" w:rsidR="008E31FD" w:rsidRPr="00211D94" w:rsidRDefault="008E31FD" w:rsidP="008B3DAE">
      <w:pPr>
        <w:spacing w:before="120" w:after="120"/>
        <w:ind w:left="3119" w:hanging="3119"/>
        <w:rPr>
          <w:rFonts w:cs="Arial"/>
          <w:szCs w:val="24"/>
        </w:rPr>
      </w:pPr>
      <w:r w:rsidRPr="00211D94">
        <w:rPr>
          <w:rFonts w:cs="Arial"/>
          <w:szCs w:val="24"/>
        </w:rPr>
        <w:t>PI</w:t>
      </w:r>
      <w:r w:rsidRPr="00211D94">
        <w:rPr>
          <w:rFonts w:cs="Arial"/>
          <w:szCs w:val="24"/>
        </w:rPr>
        <w:tab/>
        <w:t>Priorytet Inwestycyjny</w:t>
      </w:r>
    </w:p>
    <w:p w14:paraId="77C6BAEE" w14:textId="6C4BCC79" w:rsidR="007B315B" w:rsidRPr="00211D94" w:rsidRDefault="007B315B" w:rsidP="008B3DAE">
      <w:pPr>
        <w:spacing w:before="120" w:after="120"/>
        <w:ind w:left="3119" w:hanging="3119"/>
        <w:rPr>
          <w:rFonts w:cs="Arial"/>
          <w:szCs w:val="24"/>
          <w:lang w:val="en-GB"/>
        </w:rPr>
      </w:pPr>
      <w:r w:rsidRPr="00211D94">
        <w:rPr>
          <w:rFonts w:cs="Arial"/>
          <w:szCs w:val="24"/>
          <w:lang w:val="en-GB"/>
        </w:rPr>
        <w:t>PKD</w:t>
      </w:r>
      <w:r w:rsidRPr="00211D94">
        <w:rPr>
          <w:rFonts w:cs="Arial"/>
          <w:szCs w:val="24"/>
          <w:lang w:val="en-GB"/>
        </w:rPr>
        <w:tab/>
      </w:r>
      <w:proofErr w:type="spellStart"/>
      <w:r w:rsidRPr="00211D94">
        <w:rPr>
          <w:rFonts w:cs="Arial"/>
          <w:szCs w:val="24"/>
          <w:lang w:val="en-GB"/>
        </w:rPr>
        <w:t>Polska</w:t>
      </w:r>
      <w:proofErr w:type="spellEnd"/>
      <w:r w:rsidRPr="00211D94">
        <w:rPr>
          <w:rFonts w:cs="Arial"/>
          <w:szCs w:val="24"/>
          <w:lang w:val="en-GB"/>
        </w:rPr>
        <w:t xml:space="preserve"> </w:t>
      </w:r>
      <w:proofErr w:type="spellStart"/>
      <w:r w:rsidRPr="00211D94">
        <w:rPr>
          <w:rFonts w:cs="Arial"/>
          <w:szCs w:val="24"/>
          <w:lang w:val="en-GB"/>
        </w:rPr>
        <w:t>Klasyfikacja</w:t>
      </w:r>
      <w:proofErr w:type="spellEnd"/>
      <w:r w:rsidR="00A9175B" w:rsidRPr="00211D94">
        <w:rPr>
          <w:rFonts w:cs="Arial"/>
          <w:szCs w:val="24"/>
          <w:lang w:val="en-GB"/>
        </w:rPr>
        <w:t xml:space="preserve"> </w:t>
      </w:r>
      <w:proofErr w:type="spellStart"/>
      <w:r w:rsidR="00A9175B" w:rsidRPr="00211D94">
        <w:rPr>
          <w:rFonts w:cs="Arial"/>
          <w:szCs w:val="24"/>
          <w:lang w:val="en-GB"/>
        </w:rPr>
        <w:t>Działalności</w:t>
      </w:r>
      <w:proofErr w:type="spellEnd"/>
    </w:p>
    <w:p w14:paraId="0B586049" w14:textId="40FE3526" w:rsidR="000A7128" w:rsidRPr="00211D94" w:rsidRDefault="000A7128" w:rsidP="008B3DAE">
      <w:pPr>
        <w:spacing w:before="120" w:after="120"/>
        <w:ind w:left="3119" w:hanging="3119"/>
        <w:rPr>
          <w:rFonts w:cs="Arial"/>
          <w:szCs w:val="24"/>
          <w:lang w:val="en-GB"/>
        </w:rPr>
      </w:pPr>
      <w:r w:rsidRPr="00211D94">
        <w:rPr>
          <w:rFonts w:cs="Arial"/>
          <w:szCs w:val="24"/>
          <w:lang w:val="en-GB"/>
        </w:rPr>
        <w:t>REACT-EU</w:t>
      </w:r>
      <w:r w:rsidRPr="00211D94">
        <w:rPr>
          <w:rFonts w:cs="Arial"/>
          <w:szCs w:val="24"/>
          <w:lang w:val="en-GB"/>
        </w:rPr>
        <w:tab/>
        <w:t>Recovery Assistance for Cohesion and the Territories of Europe</w:t>
      </w:r>
    </w:p>
    <w:p w14:paraId="622AE9E1" w14:textId="04CA6D9A" w:rsidR="00E7599C" w:rsidRPr="00211D94" w:rsidRDefault="00226738" w:rsidP="008B3DAE">
      <w:pPr>
        <w:spacing w:before="120" w:after="120"/>
        <w:ind w:left="3119" w:hanging="3119"/>
        <w:rPr>
          <w:rFonts w:cs="Arial"/>
          <w:szCs w:val="24"/>
        </w:rPr>
      </w:pPr>
      <w:r w:rsidRPr="00211D94">
        <w:rPr>
          <w:rFonts w:cs="Arial"/>
          <w:szCs w:val="24"/>
        </w:rPr>
        <w:t>Rozporządzenie</w:t>
      </w:r>
      <w:r w:rsidR="00E7599C" w:rsidRPr="00211D94">
        <w:rPr>
          <w:rFonts w:cs="Arial"/>
          <w:szCs w:val="24"/>
        </w:rPr>
        <w:t xml:space="preserve"> ogólne</w:t>
      </w:r>
      <w:r w:rsidR="00E7599C" w:rsidRPr="00211D94">
        <w:rPr>
          <w:rFonts w:cs="Arial"/>
          <w:szCs w:val="24"/>
        </w:rPr>
        <w:tab/>
        <w:t>Rozporządzenia (UE) nr 1303/2013</w:t>
      </w:r>
    </w:p>
    <w:p w14:paraId="702F2758" w14:textId="77777777" w:rsidR="00E7599C" w:rsidRPr="00211D94" w:rsidRDefault="0075579D" w:rsidP="008B3DAE">
      <w:pPr>
        <w:spacing w:before="120" w:after="0"/>
        <w:ind w:left="3119" w:hanging="3119"/>
        <w:rPr>
          <w:rFonts w:cs="Arial"/>
          <w:szCs w:val="24"/>
        </w:rPr>
      </w:pPr>
      <w:r w:rsidRPr="00211D94">
        <w:rPr>
          <w:rFonts w:cs="Arial"/>
          <w:szCs w:val="24"/>
        </w:rPr>
        <w:t>RPO WP/Program/</w:t>
      </w:r>
      <w:r w:rsidRPr="00211D94">
        <w:rPr>
          <w:rFonts w:cs="Arial"/>
          <w:szCs w:val="24"/>
        </w:rPr>
        <w:tab/>
        <w:t>Regionalny Program Operacyjny Województwa</w:t>
      </w:r>
    </w:p>
    <w:p w14:paraId="0E55BACE" w14:textId="4964E5F9" w:rsidR="00E7599C" w:rsidRPr="00211D94" w:rsidRDefault="00E7599C" w:rsidP="00A9175B">
      <w:pPr>
        <w:spacing w:after="120"/>
        <w:ind w:left="3119" w:hanging="3119"/>
        <w:rPr>
          <w:rFonts w:cs="Arial"/>
          <w:szCs w:val="24"/>
        </w:rPr>
      </w:pPr>
      <w:r w:rsidRPr="00211D94">
        <w:rPr>
          <w:rFonts w:cs="Arial"/>
          <w:szCs w:val="24"/>
        </w:rPr>
        <w:t>RPO WP 2014-2020</w:t>
      </w:r>
      <w:r w:rsidRPr="00211D94">
        <w:rPr>
          <w:rFonts w:cs="Arial"/>
          <w:szCs w:val="24"/>
        </w:rPr>
        <w:tab/>
      </w:r>
      <w:r w:rsidR="0075579D" w:rsidRPr="00211D94">
        <w:rPr>
          <w:rFonts w:cs="Arial"/>
          <w:szCs w:val="24"/>
        </w:rPr>
        <w:t>Pomorskiego</w:t>
      </w:r>
      <w:r w:rsidRPr="00211D94">
        <w:rPr>
          <w:rFonts w:cs="Arial"/>
          <w:szCs w:val="24"/>
        </w:rPr>
        <w:t xml:space="preserve"> na lata 2014-2020</w:t>
      </w:r>
    </w:p>
    <w:p w14:paraId="3ED76D0E" w14:textId="60158659" w:rsidR="007A6DBF" w:rsidRPr="00211D94" w:rsidRDefault="007A6DBF" w:rsidP="008B3DAE">
      <w:pPr>
        <w:spacing w:before="120" w:after="120"/>
        <w:ind w:left="3119" w:hanging="3119"/>
        <w:rPr>
          <w:rFonts w:cs="Arial"/>
          <w:szCs w:val="24"/>
        </w:rPr>
      </w:pPr>
      <w:r w:rsidRPr="00211D94">
        <w:rPr>
          <w:rFonts w:cs="Arial"/>
          <w:szCs w:val="24"/>
        </w:rPr>
        <w:t>RPS</w:t>
      </w:r>
      <w:r w:rsidRPr="00211D94">
        <w:rPr>
          <w:rFonts w:cs="Arial"/>
          <w:szCs w:val="24"/>
        </w:rPr>
        <w:tab/>
        <w:t>Regionalny Program Strategiczny</w:t>
      </w:r>
    </w:p>
    <w:p w14:paraId="51EE363B" w14:textId="6FF5D15A" w:rsidR="0075579D" w:rsidRPr="00211D94" w:rsidRDefault="0075579D" w:rsidP="008B3DAE">
      <w:pPr>
        <w:spacing w:before="120" w:after="120"/>
        <w:rPr>
          <w:rFonts w:cs="Arial"/>
          <w:szCs w:val="24"/>
        </w:rPr>
      </w:pPr>
      <w:r w:rsidRPr="00211D94">
        <w:rPr>
          <w:rFonts w:cs="Arial"/>
          <w:szCs w:val="24"/>
        </w:rPr>
        <w:t>SWP</w:t>
      </w:r>
      <w:r w:rsidR="00E7599C" w:rsidRPr="00211D94">
        <w:rPr>
          <w:rFonts w:cs="Arial"/>
          <w:szCs w:val="24"/>
        </w:rPr>
        <w:tab/>
      </w:r>
      <w:r w:rsidR="00E7599C" w:rsidRPr="00211D94">
        <w:rPr>
          <w:rFonts w:cs="Arial"/>
          <w:szCs w:val="24"/>
        </w:rPr>
        <w:tab/>
      </w:r>
      <w:r w:rsidR="00E7599C" w:rsidRPr="00211D94">
        <w:rPr>
          <w:rFonts w:cs="Arial"/>
          <w:szCs w:val="24"/>
        </w:rPr>
        <w:tab/>
      </w:r>
      <w:r w:rsidR="00E7599C" w:rsidRPr="00211D94">
        <w:rPr>
          <w:rFonts w:cs="Arial"/>
          <w:szCs w:val="24"/>
        </w:rPr>
        <w:tab/>
        <w:t xml:space="preserve">    S</w:t>
      </w:r>
      <w:r w:rsidRPr="00211D94">
        <w:rPr>
          <w:rFonts w:cs="Arial"/>
          <w:szCs w:val="24"/>
        </w:rPr>
        <w:t>amorząd Województwa Pomorskiego</w:t>
      </w:r>
    </w:p>
    <w:p w14:paraId="446D52AB" w14:textId="5B63E83A" w:rsidR="000A7128" w:rsidRPr="00211D94" w:rsidRDefault="000A7128" w:rsidP="008B3DAE">
      <w:pPr>
        <w:spacing w:before="120" w:after="120"/>
        <w:rPr>
          <w:rFonts w:cs="Arial"/>
          <w:szCs w:val="24"/>
        </w:rPr>
      </w:pPr>
      <w:r w:rsidRPr="00211D94">
        <w:rPr>
          <w:rFonts w:cs="Arial"/>
          <w:szCs w:val="24"/>
        </w:rPr>
        <w:t>SUERMB</w:t>
      </w:r>
      <w:r w:rsidRPr="00211D94">
        <w:rPr>
          <w:rFonts w:cs="Arial"/>
          <w:szCs w:val="24"/>
        </w:rPr>
        <w:tab/>
      </w:r>
      <w:r w:rsidRPr="00211D94">
        <w:rPr>
          <w:rFonts w:cs="Arial"/>
          <w:szCs w:val="24"/>
        </w:rPr>
        <w:tab/>
      </w:r>
      <w:r w:rsidRPr="00211D94">
        <w:rPr>
          <w:rFonts w:cs="Arial"/>
          <w:szCs w:val="24"/>
        </w:rPr>
        <w:tab/>
        <w:t xml:space="preserve">    Strategia UE dla Regionu Morza Bałtyckiego</w:t>
      </w:r>
    </w:p>
    <w:p w14:paraId="3AA35737" w14:textId="77777777" w:rsidR="0075579D" w:rsidRPr="00211D94" w:rsidRDefault="0075579D" w:rsidP="008B3DAE">
      <w:pPr>
        <w:spacing w:before="120" w:after="120"/>
        <w:ind w:left="3119" w:hanging="3119"/>
        <w:rPr>
          <w:rFonts w:cs="Arial"/>
          <w:szCs w:val="24"/>
        </w:rPr>
      </w:pPr>
      <w:r w:rsidRPr="00211D94">
        <w:rPr>
          <w:rFonts w:cs="Arial"/>
          <w:szCs w:val="24"/>
        </w:rPr>
        <w:t xml:space="preserve">UE </w:t>
      </w:r>
      <w:r w:rsidRPr="00211D94">
        <w:rPr>
          <w:rFonts w:cs="Arial"/>
          <w:szCs w:val="24"/>
        </w:rPr>
        <w:tab/>
        <w:t>Unia Europejska</w:t>
      </w:r>
    </w:p>
    <w:p w14:paraId="2755B465" w14:textId="77777777" w:rsidR="0075579D" w:rsidRPr="00211D94" w:rsidRDefault="0075579D" w:rsidP="008B3DAE">
      <w:pPr>
        <w:spacing w:before="120" w:after="120"/>
        <w:ind w:left="3119" w:hanging="3119"/>
        <w:rPr>
          <w:rFonts w:cs="Arial"/>
          <w:szCs w:val="24"/>
        </w:rPr>
      </w:pPr>
      <w:proofErr w:type="spellStart"/>
      <w:r w:rsidRPr="00211D94">
        <w:rPr>
          <w:rFonts w:cs="Arial"/>
          <w:szCs w:val="24"/>
        </w:rPr>
        <w:t>UoD</w:t>
      </w:r>
      <w:proofErr w:type="spellEnd"/>
      <w:r w:rsidRPr="00211D94">
        <w:rPr>
          <w:rFonts w:cs="Arial"/>
          <w:szCs w:val="24"/>
        </w:rPr>
        <w:tab/>
        <w:t>Umowa o dofinansowanie</w:t>
      </w:r>
    </w:p>
    <w:p w14:paraId="1DF6513F" w14:textId="77777777" w:rsidR="0075579D" w:rsidRPr="00211D94" w:rsidRDefault="0075579D" w:rsidP="008B3DAE">
      <w:pPr>
        <w:spacing w:before="120" w:after="120"/>
        <w:ind w:left="3119" w:hanging="3119"/>
        <w:rPr>
          <w:rFonts w:cs="Arial"/>
          <w:szCs w:val="24"/>
        </w:rPr>
      </w:pPr>
      <w:proofErr w:type="spellStart"/>
      <w:r w:rsidRPr="00211D94">
        <w:rPr>
          <w:rFonts w:cs="Arial"/>
          <w:szCs w:val="24"/>
        </w:rPr>
        <w:t>WoD</w:t>
      </w:r>
      <w:proofErr w:type="spellEnd"/>
      <w:r w:rsidRPr="00211D94">
        <w:rPr>
          <w:rFonts w:cs="Arial"/>
          <w:szCs w:val="24"/>
        </w:rPr>
        <w:tab/>
        <w:t>Wniosek o dofinansowanie</w:t>
      </w:r>
    </w:p>
    <w:p w14:paraId="0D97AD77" w14:textId="1F2B3CAF" w:rsidR="0075579D" w:rsidRPr="00211D94" w:rsidRDefault="0075579D" w:rsidP="00E7599C">
      <w:pPr>
        <w:spacing w:before="120" w:after="120"/>
        <w:ind w:left="3119" w:hanging="3119"/>
        <w:rPr>
          <w:rFonts w:cs="Arial"/>
          <w:szCs w:val="24"/>
        </w:rPr>
      </w:pPr>
      <w:proofErr w:type="spellStart"/>
      <w:r w:rsidRPr="00211D94">
        <w:rPr>
          <w:rFonts w:cs="Arial"/>
          <w:szCs w:val="24"/>
        </w:rPr>
        <w:t>WoP</w:t>
      </w:r>
      <w:proofErr w:type="spellEnd"/>
      <w:r w:rsidRPr="00211D94">
        <w:rPr>
          <w:rFonts w:cs="Arial"/>
          <w:szCs w:val="24"/>
        </w:rPr>
        <w:tab/>
        <w:t>Wniosek o płatność</w:t>
      </w:r>
    </w:p>
    <w:p w14:paraId="58C3BF91" w14:textId="334B92C3" w:rsidR="009F45F7" w:rsidRPr="00211D94" w:rsidRDefault="009F45F7" w:rsidP="008B3DAE">
      <w:pPr>
        <w:spacing w:before="120" w:after="120"/>
        <w:ind w:left="3119" w:hanging="3119"/>
        <w:rPr>
          <w:rFonts w:cs="Arial"/>
          <w:szCs w:val="24"/>
        </w:rPr>
      </w:pPr>
      <w:r w:rsidRPr="00211D94">
        <w:rPr>
          <w:rFonts w:cs="Arial"/>
          <w:szCs w:val="24"/>
        </w:rPr>
        <w:t>WUP</w:t>
      </w:r>
      <w:r w:rsidRPr="00211D94">
        <w:rPr>
          <w:rFonts w:cs="Arial"/>
          <w:szCs w:val="24"/>
        </w:rPr>
        <w:tab/>
        <w:t>Wojewódzki Urząd Pracy w Gdańsku</w:t>
      </w:r>
    </w:p>
    <w:p w14:paraId="71E63FFB" w14:textId="77777777" w:rsidR="000A7128" w:rsidRPr="00211D94" w:rsidRDefault="0075579D" w:rsidP="008B3DAE">
      <w:pPr>
        <w:spacing w:before="120" w:after="120"/>
        <w:ind w:left="3119" w:hanging="3119"/>
        <w:rPr>
          <w:rFonts w:cs="Arial"/>
          <w:szCs w:val="24"/>
        </w:rPr>
      </w:pPr>
      <w:r w:rsidRPr="00211D94">
        <w:rPr>
          <w:rFonts w:cs="Arial"/>
          <w:szCs w:val="24"/>
        </w:rPr>
        <w:t>ZIT</w:t>
      </w:r>
      <w:r w:rsidRPr="00211D94">
        <w:rPr>
          <w:rFonts w:cs="Arial"/>
          <w:szCs w:val="24"/>
        </w:rPr>
        <w:tab/>
        <w:t>Zintegrowane Inwestycje Terytorialne</w:t>
      </w:r>
    </w:p>
    <w:p w14:paraId="243E3012" w14:textId="662D83C5" w:rsidR="000A7128" w:rsidRPr="00211D94" w:rsidRDefault="000A7128" w:rsidP="008B3DAE">
      <w:pPr>
        <w:spacing w:before="120" w:after="120"/>
        <w:ind w:left="3119" w:hanging="3119"/>
        <w:rPr>
          <w:rFonts w:cs="Arial"/>
        </w:rPr>
      </w:pPr>
      <w:bookmarkStart w:id="6" w:name="_Hlk212468092"/>
      <w:r w:rsidRPr="00211D94">
        <w:rPr>
          <w:rFonts w:cs="Arial"/>
        </w:rPr>
        <w:t>ZPT</w:t>
      </w:r>
      <w:r w:rsidRPr="00211D94">
        <w:rPr>
          <w:rFonts w:cs="Arial"/>
        </w:rPr>
        <w:tab/>
        <w:t xml:space="preserve">Zintegrowane </w:t>
      </w:r>
      <w:r w:rsidR="00A9175B" w:rsidRPr="00211D94">
        <w:rPr>
          <w:rFonts w:cs="Arial"/>
        </w:rPr>
        <w:t>Porozumienia Terytorialne</w:t>
      </w:r>
    </w:p>
    <w:p w14:paraId="04243675" w14:textId="18DEE2C6" w:rsidR="009D1D12" w:rsidRPr="00211D94" w:rsidRDefault="000A7128" w:rsidP="000A7128">
      <w:pPr>
        <w:spacing w:before="120" w:after="120"/>
        <w:rPr>
          <w:rFonts w:cs="Arial"/>
          <w:color w:val="C45911" w:themeColor="accent2" w:themeShade="BF"/>
          <w:szCs w:val="24"/>
        </w:rPr>
      </w:pPr>
      <w:r w:rsidRPr="00211D94">
        <w:rPr>
          <w:rFonts w:cs="Arial"/>
        </w:rPr>
        <w:t>ZWP</w:t>
      </w:r>
      <w:r w:rsidRPr="00211D94">
        <w:rPr>
          <w:rFonts w:cs="Arial"/>
        </w:rPr>
        <w:tab/>
      </w:r>
      <w:r w:rsidRPr="00211D94">
        <w:rPr>
          <w:rFonts w:cs="Arial"/>
        </w:rPr>
        <w:tab/>
      </w:r>
      <w:r w:rsidRPr="00211D94">
        <w:rPr>
          <w:rFonts w:cs="Arial"/>
        </w:rPr>
        <w:tab/>
      </w:r>
      <w:r w:rsidRPr="00211D94">
        <w:rPr>
          <w:rFonts w:cs="Arial"/>
        </w:rPr>
        <w:tab/>
        <w:t xml:space="preserve">    Zarząd Województwa Pomorskiego</w:t>
      </w:r>
      <w:bookmarkEnd w:id="6"/>
      <w:r w:rsidR="009D1D12" w:rsidRPr="00211D94">
        <w:rPr>
          <w:rFonts w:cs="Arial"/>
          <w:color w:val="C45911" w:themeColor="accent2" w:themeShade="BF"/>
        </w:rPr>
        <w:br w:type="page"/>
      </w:r>
    </w:p>
    <w:p w14:paraId="7C49E1FE" w14:textId="4A0974C6" w:rsidR="00D51E97" w:rsidRPr="00211D94" w:rsidRDefault="00E061D8" w:rsidP="009C6042">
      <w:pPr>
        <w:pStyle w:val="Nagwek1"/>
        <w:numPr>
          <w:ilvl w:val="0"/>
          <w:numId w:val="8"/>
        </w:numPr>
        <w:spacing w:before="120" w:after="120"/>
        <w:ind w:left="284" w:hanging="284"/>
        <w:rPr>
          <w:rFonts w:cs="Arial"/>
          <w:color w:val="FFFFFF" w:themeColor="background1"/>
        </w:rPr>
      </w:pPr>
      <w:bookmarkStart w:id="7" w:name="_Toc212206847"/>
      <w:bookmarkEnd w:id="3"/>
      <w:bookmarkEnd w:id="7"/>
      <w:r w:rsidRPr="00211D94">
        <w:rPr>
          <w:rFonts w:cs="Arial"/>
          <w:color w:val="FFFFFF" w:themeColor="background1"/>
        </w:rPr>
        <w:t xml:space="preserve"> </w:t>
      </w:r>
      <w:bookmarkStart w:id="8" w:name="_Toc214025244"/>
      <w:r w:rsidR="00C5380A" w:rsidRPr="00211D94">
        <w:rPr>
          <w:rFonts w:cs="Arial"/>
          <w:color w:val="FFFFFF" w:themeColor="background1"/>
        </w:rPr>
        <w:t xml:space="preserve">Identyfikacja </w:t>
      </w:r>
      <w:r w:rsidR="00A9175B" w:rsidRPr="00211D94">
        <w:rPr>
          <w:rFonts w:cs="Arial"/>
          <w:color w:val="FFFFFF" w:themeColor="background1"/>
        </w:rPr>
        <w:t>końcowego</w:t>
      </w:r>
      <w:r w:rsidR="00C5380A" w:rsidRPr="00211D94">
        <w:rPr>
          <w:rFonts w:cs="Arial"/>
          <w:color w:val="FFFFFF" w:themeColor="background1"/>
        </w:rPr>
        <w:t xml:space="preserve"> sprawozdania z wdrażania</w:t>
      </w:r>
      <w:bookmarkEnd w:id="8"/>
    </w:p>
    <w:p w14:paraId="396FD605" w14:textId="5110F2E2" w:rsidR="00C5380A" w:rsidRDefault="00C5380A" w:rsidP="00F55865">
      <w:pPr>
        <w:spacing w:before="120" w:after="120"/>
        <w:rPr>
          <w:rFonts w:cs="Arial"/>
          <w:szCs w:val="24"/>
        </w:rPr>
      </w:pPr>
      <w:r w:rsidRPr="00211D94">
        <w:rPr>
          <w:rFonts w:cs="Arial"/>
          <w:szCs w:val="24"/>
        </w:rPr>
        <w:t>CCI - 2014PL16M2OP011</w:t>
      </w:r>
      <w:r w:rsidRPr="00211D94">
        <w:rPr>
          <w:rFonts w:cs="Arial"/>
          <w:szCs w:val="24"/>
        </w:rPr>
        <w:br/>
        <w:t>Nazwa programu - Regionalny Program Operacyjny Województwa Pomorskiego na lata 2014-2020</w:t>
      </w:r>
      <w:r w:rsidRPr="00211D94">
        <w:rPr>
          <w:rFonts w:cs="Arial"/>
          <w:szCs w:val="24"/>
        </w:rPr>
        <w:br/>
        <w:t xml:space="preserve">Rok sprawozdawczy </w:t>
      </w:r>
      <w:r w:rsidR="009E4E18">
        <w:rPr>
          <w:rFonts w:cs="Arial"/>
          <w:szCs w:val="24"/>
        </w:rPr>
        <w:t>–</w:t>
      </w:r>
      <w:r w:rsidRPr="00211D94">
        <w:rPr>
          <w:rFonts w:cs="Arial"/>
          <w:szCs w:val="24"/>
        </w:rPr>
        <w:t xml:space="preserve"> 202</w:t>
      </w:r>
      <w:r w:rsidR="00C02990" w:rsidRPr="00211D94">
        <w:rPr>
          <w:rFonts w:cs="Arial"/>
          <w:szCs w:val="24"/>
        </w:rPr>
        <w:t>3</w:t>
      </w:r>
    </w:p>
    <w:p w14:paraId="1C80BE3A" w14:textId="1FAEEEBF" w:rsidR="009E4E18" w:rsidRPr="00211D94" w:rsidRDefault="009E4E18" w:rsidP="00F55865">
      <w:pPr>
        <w:spacing w:before="120" w:after="120"/>
        <w:rPr>
          <w:rFonts w:cs="Arial"/>
          <w:highlight w:val="black"/>
        </w:rPr>
      </w:pPr>
      <w:r>
        <w:rPr>
          <w:rFonts w:cs="Arial"/>
        </w:rPr>
        <w:t>Zastosowany k</w:t>
      </w:r>
      <w:r w:rsidRPr="00F000AB">
        <w:rPr>
          <w:rFonts w:cs="Arial"/>
        </w:rPr>
        <w:t xml:space="preserve">urs EUR </w:t>
      </w:r>
      <w:r>
        <w:rPr>
          <w:rFonts w:cs="Arial"/>
        </w:rPr>
        <w:t>(</w:t>
      </w:r>
      <w:r w:rsidRPr="00F000AB">
        <w:rPr>
          <w:rFonts w:cs="Arial"/>
        </w:rPr>
        <w:t>InforEuro z dn</w:t>
      </w:r>
      <w:r>
        <w:rPr>
          <w:rFonts w:cs="Arial"/>
        </w:rPr>
        <w:t>ia</w:t>
      </w:r>
      <w:r w:rsidRPr="00F000AB">
        <w:rPr>
          <w:rFonts w:cs="Arial"/>
        </w:rPr>
        <w:t xml:space="preserve"> 28.09.2025</w:t>
      </w:r>
      <w:r>
        <w:rPr>
          <w:rFonts w:cs="Arial"/>
        </w:rPr>
        <w:t xml:space="preserve"> </w:t>
      </w:r>
      <w:r w:rsidRPr="00F000AB">
        <w:rPr>
          <w:rFonts w:cs="Arial"/>
        </w:rPr>
        <w:t>r</w:t>
      </w:r>
      <w:r>
        <w:rPr>
          <w:rFonts w:cs="Arial"/>
        </w:rPr>
        <w:t>.) – 1 EUR = 4,2695 PLN</w:t>
      </w:r>
    </w:p>
    <w:p w14:paraId="12724454" w14:textId="1F6015B7" w:rsidR="00500D4F" w:rsidRPr="00211D94" w:rsidRDefault="00500D4F" w:rsidP="00F55865">
      <w:pPr>
        <w:pStyle w:val="Nagwek1"/>
        <w:spacing w:before="120" w:after="120"/>
        <w:rPr>
          <w:rFonts w:cs="Arial"/>
          <w:color w:val="FFFFFF" w:themeColor="background1"/>
        </w:rPr>
      </w:pPr>
      <w:bookmarkStart w:id="9" w:name="_Toc214025245"/>
      <w:r w:rsidRPr="00211D94">
        <w:rPr>
          <w:rFonts w:cs="Arial"/>
          <w:color w:val="FFFFFF" w:themeColor="background1"/>
        </w:rPr>
        <w:t>2.</w:t>
      </w:r>
      <w:r w:rsidR="00274503" w:rsidRPr="00211D94">
        <w:rPr>
          <w:rFonts w:cs="Arial"/>
          <w:color w:val="FFFFFF" w:themeColor="background1"/>
        </w:rPr>
        <w:t xml:space="preserve"> </w:t>
      </w:r>
      <w:r w:rsidR="00C5380A" w:rsidRPr="00211D94">
        <w:rPr>
          <w:rFonts w:cs="Arial"/>
          <w:color w:val="FFFFFF" w:themeColor="background1"/>
        </w:rPr>
        <w:t xml:space="preserve">Przegląd wdrażania programu operacyjnego </w:t>
      </w:r>
      <w:r w:rsidRPr="00211D94">
        <w:rPr>
          <w:rFonts w:cs="Arial"/>
          <w:color w:val="FFFFFF" w:themeColor="background1"/>
        </w:rPr>
        <w:t>(art. 50 ust.</w:t>
      </w:r>
      <w:r w:rsidR="00677EEA" w:rsidRPr="00211D94">
        <w:rPr>
          <w:rFonts w:cs="Arial"/>
          <w:color w:val="FFFFFF" w:themeColor="background1"/>
        </w:rPr>
        <w:t> </w:t>
      </w:r>
      <w:r w:rsidRPr="00211D94">
        <w:rPr>
          <w:rFonts w:cs="Arial"/>
          <w:color w:val="FFFFFF" w:themeColor="background1"/>
        </w:rPr>
        <w:t xml:space="preserve">2 </w:t>
      </w:r>
      <w:r w:rsidR="00F52212" w:rsidRPr="00211D94">
        <w:rPr>
          <w:rFonts w:cs="Arial"/>
          <w:color w:val="FFFFFF" w:themeColor="background1"/>
        </w:rPr>
        <w:br/>
      </w:r>
      <w:r w:rsidRPr="00211D94">
        <w:rPr>
          <w:rFonts w:cs="Arial"/>
          <w:color w:val="FFFFFF" w:themeColor="background1"/>
        </w:rPr>
        <w:t xml:space="preserve">i art. 111 ust. 3 lit. </w:t>
      </w:r>
      <w:r w:rsidR="00C5380A" w:rsidRPr="00211D94">
        <w:rPr>
          <w:rFonts w:cs="Arial"/>
          <w:color w:val="FFFFFF" w:themeColor="background1"/>
        </w:rPr>
        <w:t>A</w:t>
      </w:r>
      <w:r w:rsidRPr="00211D94">
        <w:rPr>
          <w:rFonts w:cs="Arial"/>
          <w:color w:val="FFFFFF" w:themeColor="background1"/>
        </w:rPr>
        <w:t xml:space="preserve">) </w:t>
      </w:r>
      <w:bookmarkStart w:id="10" w:name="_Hlk212459647"/>
      <w:r w:rsidRPr="00211D94">
        <w:rPr>
          <w:rFonts w:cs="Arial"/>
          <w:color w:val="FFFFFF" w:themeColor="background1"/>
        </w:rPr>
        <w:t xml:space="preserve">rozporządzenia </w:t>
      </w:r>
      <w:bookmarkEnd w:id="10"/>
      <w:r w:rsidR="00726583" w:rsidRPr="00211D94">
        <w:rPr>
          <w:rFonts w:cs="Arial"/>
          <w:color w:val="FFFFFF" w:themeColor="background1"/>
        </w:rPr>
        <w:t>ogólnego</w:t>
      </w:r>
      <w:r w:rsidR="00A9175B" w:rsidRPr="00211D94">
        <w:rPr>
          <w:rFonts w:cs="Arial"/>
          <w:color w:val="FFFFFF" w:themeColor="background1"/>
        </w:rPr>
        <w:t>)</w:t>
      </w:r>
      <w:bookmarkEnd w:id="9"/>
    </w:p>
    <w:p w14:paraId="45499723" w14:textId="1753C564" w:rsidR="002E298C" w:rsidRPr="00211D94" w:rsidRDefault="00BD36BB" w:rsidP="00F55865">
      <w:pPr>
        <w:pStyle w:val="Nagwek2"/>
        <w:spacing w:before="120" w:after="120"/>
        <w:rPr>
          <w:rFonts w:cs="Arial"/>
          <w:color w:val="FFFFFF" w:themeColor="background1"/>
        </w:rPr>
      </w:pPr>
      <w:bookmarkStart w:id="11" w:name="_Toc448403945"/>
      <w:bookmarkStart w:id="12" w:name="_Toc511382667"/>
      <w:bookmarkStart w:id="13" w:name="_Toc214025246"/>
      <w:r w:rsidRPr="00211D94">
        <w:rPr>
          <w:rFonts w:cs="Arial"/>
          <w:color w:val="FFFFFF" w:themeColor="background1"/>
        </w:rPr>
        <w:t>2.</w:t>
      </w:r>
      <w:r w:rsidR="007A53E0" w:rsidRPr="00211D94">
        <w:rPr>
          <w:rFonts w:cs="Arial"/>
          <w:color w:val="FFFFFF" w:themeColor="background1"/>
        </w:rPr>
        <w:t>1</w:t>
      </w:r>
      <w:r w:rsidRPr="00211D94">
        <w:rPr>
          <w:rFonts w:cs="Arial"/>
          <w:color w:val="FFFFFF" w:themeColor="background1"/>
        </w:rPr>
        <w:t>. Analiza postępu rzeczowego i finansowego</w:t>
      </w:r>
      <w:bookmarkEnd w:id="11"/>
      <w:bookmarkEnd w:id="12"/>
      <w:bookmarkEnd w:id="13"/>
    </w:p>
    <w:p w14:paraId="5A3E05C6"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1D1D27B6" w14:textId="60675B0C" w:rsidR="002E298C" w:rsidRPr="00211D94" w:rsidRDefault="002E298C" w:rsidP="00F55865">
      <w:pPr>
        <w:numPr>
          <w:ilvl w:val="0"/>
          <w:numId w:val="1"/>
        </w:numPr>
        <w:spacing w:before="120" w:after="120"/>
        <w:rPr>
          <w:rFonts w:cs="Arial"/>
          <w:szCs w:val="24"/>
        </w:rPr>
      </w:pPr>
      <w:r w:rsidRPr="00211D94">
        <w:rPr>
          <w:rFonts w:cs="Arial"/>
          <w:szCs w:val="24"/>
        </w:rPr>
        <w:t xml:space="preserve">podpisano 2 314 </w:t>
      </w:r>
      <w:proofErr w:type="spellStart"/>
      <w:r w:rsidRPr="00211D94">
        <w:rPr>
          <w:rFonts w:cs="Arial"/>
          <w:szCs w:val="24"/>
        </w:rPr>
        <w:t>UoD</w:t>
      </w:r>
      <w:proofErr w:type="spellEnd"/>
      <w:r w:rsidRPr="00211D94">
        <w:rPr>
          <w:rFonts w:cs="Arial"/>
          <w:szCs w:val="24"/>
        </w:rPr>
        <w:t xml:space="preserve"> (1 232 z EFS, 1 082 z EFRR)-</w:t>
      </w:r>
      <w:proofErr w:type="spellStart"/>
      <w:r w:rsidRPr="00211D94">
        <w:rPr>
          <w:rFonts w:cs="Arial"/>
          <w:szCs w:val="24"/>
        </w:rPr>
        <w:t>dof.UE</w:t>
      </w:r>
      <w:proofErr w:type="spellEnd"/>
      <w:r w:rsidRPr="00211D94">
        <w:rPr>
          <w:rFonts w:cs="Arial"/>
          <w:szCs w:val="24"/>
        </w:rPr>
        <w:t xml:space="preserve"> 2 003,1 mln EUR–105,9% alokacji RPO WP, ogółem 2 941,2 mln EUR </w:t>
      </w:r>
    </w:p>
    <w:p w14:paraId="028942CB" w14:textId="6A5A15F6" w:rsidR="002E298C" w:rsidRPr="00211D94" w:rsidRDefault="002E298C"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1 961,3 mln EUR–</w:t>
      </w:r>
      <w:r w:rsidR="003F0460" w:rsidRPr="00211D94">
        <w:rPr>
          <w:rFonts w:cs="Arial"/>
          <w:szCs w:val="24"/>
        </w:rPr>
        <w:t>103,7</w:t>
      </w:r>
      <w:r w:rsidRPr="00211D94">
        <w:rPr>
          <w:rFonts w:cs="Arial"/>
          <w:szCs w:val="24"/>
        </w:rPr>
        <w:t xml:space="preserve">% alokacji RPO WP, </w:t>
      </w:r>
      <w:r w:rsidR="006C7A2D" w:rsidRPr="00211D94">
        <w:rPr>
          <w:rFonts w:cs="Arial"/>
          <w:szCs w:val="24"/>
        </w:rPr>
        <w:t>łączna wartość wydatków kwalifikowalnych wyniosła</w:t>
      </w:r>
      <w:r w:rsidRPr="00211D94">
        <w:rPr>
          <w:rFonts w:cs="Arial"/>
          <w:szCs w:val="24"/>
        </w:rPr>
        <w:t xml:space="preserve"> 2 882,6 mln EUR</w:t>
      </w:r>
    </w:p>
    <w:p w14:paraId="66D418C5" w14:textId="36575554" w:rsidR="002E298C" w:rsidRPr="00211D94" w:rsidRDefault="00076126" w:rsidP="00F55865">
      <w:pPr>
        <w:numPr>
          <w:ilvl w:val="0"/>
          <w:numId w:val="1"/>
        </w:numPr>
        <w:spacing w:before="120" w:after="120"/>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03429A" w:rsidRPr="00211D94">
        <w:rPr>
          <w:rFonts w:cs="Arial"/>
          <w:szCs w:val="24"/>
        </w:rPr>
        <w:t xml:space="preserve"> </w:t>
      </w:r>
      <w:r w:rsidR="002E298C" w:rsidRPr="00211D94">
        <w:rPr>
          <w:rFonts w:cs="Arial"/>
          <w:szCs w:val="24"/>
        </w:rPr>
        <w:t xml:space="preserve">1 890,7 mln EUR–100,0% alokacji, </w:t>
      </w:r>
      <w:r w:rsidR="006C7A2D" w:rsidRPr="00211D94">
        <w:rPr>
          <w:rFonts w:cs="Arial"/>
          <w:szCs w:val="24"/>
        </w:rPr>
        <w:t xml:space="preserve">łączna wartość wydatków kwalifikowalnych wyniosła </w:t>
      </w:r>
      <w:r w:rsidR="002E298C" w:rsidRPr="00211D94">
        <w:rPr>
          <w:rFonts w:cs="Arial"/>
          <w:szCs w:val="24"/>
        </w:rPr>
        <w:t>2</w:t>
      </w:r>
      <w:r w:rsidR="006C7A2D" w:rsidRPr="00211D94">
        <w:rPr>
          <w:rFonts w:cs="Arial"/>
          <w:szCs w:val="24"/>
        </w:rPr>
        <w:t> 425,4</w:t>
      </w:r>
      <w:r w:rsidR="002E298C" w:rsidRPr="00211D94">
        <w:rPr>
          <w:rFonts w:cs="Arial"/>
          <w:szCs w:val="24"/>
        </w:rPr>
        <w:t xml:space="preserve"> mln EUR</w:t>
      </w:r>
    </w:p>
    <w:p w14:paraId="01DC0B4A" w14:textId="77777777" w:rsidR="002E298C" w:rsidRPr="00211D94" w:rsidRDefault="002E298C" w:rsidP="00F55865">
      <w:pPr>
        <w:spacing w:before="120" w:after="120"/>
        <w:rPr>
          <w:rFonts w:cs="Arial"/>
          <w:szCs w:val="24"/>
        </w:rPr>
      </w:pPr>
      <w:r w:rsidRPr="00211D94">
        <w:rPr>
          <w:rFonts w:cs="Arial"/>
          <w:szCs w:val="24"/>
        </w:rPr>
        <w:t>Charakterystyka projektów</w:t>
      </w:r>
    </w:p>
    <w:p w14:paraId="71A9D8F1" w14:textId="68B88EFD" w:rsidR="002E298C" w:rsidRPr="00211D94" w:rsidRDefault="002E298C" w:rsidP="00F55865">
      <w:pPr>
        <w:numPr>
          <w:ilvl w:val="0"/>
          <w:numId w:val="6"/>
        </w:numPr>
        <w:spacing w:before="120" w:after="120"/>
        <w:rPr>
          <w:rFonts w:cs="Arial"/>
          <w:szCs w:val="24"/>
        </w:rPr>
      </w:pPr>
      <w:r w:rsidRPr="00211D94">
        <w:rPr>
          <w:rFonts w:cs="Arial"/>
          <w:szCs w:val="24"/>
        </w:rPr>
        <w:t>JST (42,</w:t>
      </w:r>
      <w:r w:rsidR="00F12207" w:rsidRPr="00211D94">
        <w:rPr>
          <w:rFonts w:cs="Arial"/>
          <w:szCs w:val="24"/>
        </w:rPr>
        <w:t>2</w:t>
      </w:r>
      <w:r w:rsidRPr="00211D94">
        <w:rPr>
          <w:rFonts w:cs="Arial"/>
          <w:szCs w:val="24"/>
        </w:rPr>
        <w:t>%), przedsiębiorcy (43,3%), NGO (10,</w:t>
      </w:r>
      <w:r w:rsidR="00F12207" w:rsidRPr="00211D94">
        <w:rPr>
          <w:rFonts w:cs="Arial"/>
          <w:szCs w:val="24"/>
        </w:rPr>
        <w:t>7</w:t>
      </w:r>
      <w:r w:rsidRPr="00211D94">
        <w:rPr>
          <w:rFonts w:cs="Arial"/>
          <w:szCs w:val="24"/>
        </w:rPr>
        <w:t>%), szkoły/uczelnie/jednostki naukowe (2,2%), inne (1,2%), jednostki administracji rządowej (0,</w:t>
      </w:r>
      <w:r w:rsidR="00F12207" w:rsidRPr="00211D94">
        <w:rPr>
          <w:rFonts w:cs="Arial"/>
          <w:szCs w:val="24"/>
        </w:rPr>
        <w:t>4</w:t>
      </w:r>
      <w:r w:rsidRPr="00211D94">
        <w:rPr>
          <w:rFonts w:cs="Arial"/>
          <w:szCs w:val="24"/>
        </w:rPr>
        <w:t>%)</w:t>
      </w:r>
    </w:p>
    <w:p w14:paraId="1BF48533" w14:textId="77777777" w:rsidR="002E298C" w:rsidRPr="00211D94" w:rsidRDefault="002E298C" w:rsidP="00F55865">
      <w:pPr>
        <w:numPr>
          <w:ilvl w:val="0"/>
          <w:numId w:val="6"/>
        </w:numPr>
        <w:spacing w:before="120" w:after="120"/>
        <w:rPr>
          <w:rFonts w:cs="Arial"/>
          <w:szCs w:val="24"/>
        </w:rPr>
      </w:pPr>
      <w:r w:rsidRPr="00211D94">
        <w:rPr>
          <w:rFonts w:cs="Arial"/>
          <w:szCs w:val="24"/>
        </w:rPr>
        <w:t>Główne rodzaje dział. gosp.: edukacja, administracja publiczna, turystyka oraz działalność związana z zakwaterowaniem i usługami gastronomicznymi</w:t>
      </w:r>
    </w:p>
    <w:p w14:paraId="0EA6B273" w14:textId="77777777" w:rsidR="002E298C" w:rsidRPr="00211D94" w:rsidRDefault="002E298C" w:rsidP="00F55865">
      <w:pPr>
        <w:numPr>
          <w:ilvl w:val="0"/>
          <w:numId w:val="6"/>
        </w:numPr>
        <w:spacing w:before="120" w:after="120"/>
        <w:rPr>
          <w:rFonts w:cs="Arial"/>
          <w:szCs w:val="24"/>
        </w:rPr>
      </w:pPr>
      <w:r w:rsidRPr="00211D94">
        <w:rPr>
          <w:rFonts w:cs="Arial"/>
          <w:szCs w:val="24"/>
        </w:rPr>
        <w:t>Główne PKD Beneficjentów: 84.11.Z, 85.59.B</w:t>
      </w:r>
    </w:p>
    <w:p w14:paraId="2C188CBE" w14:textId="4F6A0611" w:rsidR="002E298C" w:rsidRPr="00211D94" w:rsidRDefault="00493384" w:rsidP="00F55865">
      <w:pPr>
        <w:numPr>
          <w:ilvl w:val="0"/>
          <w:numId w:val="6"/>
        </w:numPr>
        <w:spacing w:before="120" w:after="120"/>
        <w:rPr>
          <w:rFonts w:cs="Arial"/>
          <w:szCs w:val="24"/>
        </w:rPr>
      </w:pPr>
      <w:r w:rsidRPr="00211D94">
        <w:rPr>
          <w:rFonts w:cs="Arial"/>
          <w:szCs w:val="24"/>
        </w:rPr>
        <w:t xml:space="preserve">Liczba projektów na </w:t>
      </w:r>
      <w:r w:rsidR="002E298C" w:rsidRPr="00211D94">
        <w:rPr>
          <w:rFonts w:cs="Arial"/>
          <w:szCs w:val="24"/>
        </w:rPr>
        <w:t>obszar</w:t>
      </w:r>
      <w:r w:rsidRPr="00211D94">
        <w:rPr>
          <w:rFonts w:cs="Arial"/>
          <w:szCs w:val="24"/>
        </w:rPr>
        <w:t>ach</w:t>
      </w:r>
      <w:r w:rsidR="002E298C" w:rsidRPr="00211D94">
        <w:rPr>
          <w:rFonts w:cs="Arial"/>
          <w:szCs w:val="24"/>
        </w:rPr>
        <w:t xml:space="preserve"> miejski</w:t>
      </w:r>
      <w:r w:rsidRPr="00211D94">
        <w:rPr>
          <w:rFonts w:cs="Arial"/>
          <w:szCs w:val="24"/>
        </w:rPr>
        <w:t>ch</w:t>
      </w:r>
      <w:r w:rsidR="002E298C" w:rsidRPr="00211D94">
        <w:rPr>
          <w:rFonts w:cs="Arial"/>
          <w:szCs w:val="24"/>
        </w:rPr>
        <w:t>-</w:t>
      </w:r>
      <w:r w:rsidR="00F12207" w:rsidRPr="00211D94">
        <w:rPr>
          <w:rFonts w:cs="Arial"/>
          <w:szCs w:val="24"/>
        </w:rPr>
        <w:t>55,9</w:t>
      </w:r>
      <w:r w:rsidR="002E298C" w:rsidRPr="00211D94">
        <w:rPr>
          <w:rFonts w:cs="Arial"/>
          <w:szCs w:val="24"/>
        </w:rPr>
        <w:t xml:space="preserve">%, </w:t>
      </w:r>
      <w:r w:rsidRPr="00211D94">
        <w:rPr>
          <w:rFonts w:cs="Arial"/>
          <w:szCs w:val="24"/>
        </w:rPr>
        <w:t xml:space="preserve">na </w:t>
      </w:r>
      <w:r w:rsidR="002E298C" w:rsidRPr="00211D94">
        <w:rPr>
          <w:rFonts w:cs="Arial"/>
          <w:szCs w:val="24"/>
        </w:rPr>
        <w:t>obszar</w:t>
      </w:r>
      <w:r w:rsidRPr="00211D94">
        <w:rPr>
          <w:rFonts w:cs="Arial"/>
          <w:szCs w:val="24"/>
        </w:rPr>
        <w:t>ach</w:t>
      </w:r>
      <w:r w:rsidR="002E298C" w:rsidRPr="00211D94">
        <w:rPr>
          <w:rFonts w:cs="Arial"/>
          <w:szCs w:val="24"/>
        </w:rPr>
        <w:t xml:space="preserve"> wiejski</w:t>
      </w:r>
      <w:r w:rsidRPr="00211D94">
        <w:rPr>
          <w:rFonts w:cs="Arial"/>
          <w:szCs w:val="24"/>
        </w:rPr>
        <w:t>ch</w:t>
      </w:r>
      <w:r w:rsidR="002E298C" w:rsidRPr="00211D94">
        <w:rPr>
          <w:rFonts w:cs="Arial"/>
          <w:szCs w:val="24"/>
        </w:rPr>
        <w:t>-28,0%, teren poszczególnych powiatów, całe województwo (w tym pomoc techniczna)-16,</w:t>
      </w:r>
      <w:r w:rsidR="00F12207" w:rsidRPr="00211D94">
        <w:rPr>
          <w:rFonts w:cs="Arial"/>
          <w:szCs w:val="24"/>
        </w:rPr>
        <w:t>1</w:t>
      </w:r>
      <w:r w:rsidR="002E298C" w:rsidRPr="00211D94">
        <w:rPr>
          <w:rFonts w:cs="Arial"/>
          <w:szCs w:val="24"/>
        </w:rPr>
        <w:t>%</w:t>
      </w:r>
    </w:p>
    <w:p w14:paraId="44DC19E2" w14:textId="6A8B63B9" w:rsidR="002E298C" w:rsidRPr="00211D94" w:rsidRDefault="002E298C" w:rsidP="00F55865">
      <w:pPr>
        <w:numPr>
          <w:ilvl w:val="0"/>
          <w:numId w:val="6"/>
        </w:numPr>
        <w:spacing w:before="120" w:after="120"/>
        <w:rPr>
          <w:rFonts w:cs="Arial"/>
          <w:szCs w:val="24"/>
        </w:rPr>
      </w:pPr>
      <w:r w:rsidRPr="00211D94">
        <w:rPr>
          <w:rFonts w:cs="Arial"/>
          <w:szCs w:val="24"/>
        </w:rPr>
        <w:t>ZIT-1</w:t>
      </w:r>
      <w:r w:rsidR="00F12207" w:rsidRPr="00211D94">
        <w:rPr>
          <w:rFonts w:cs="Arial"/>
          <w:szCs w:val="24"/>
        </w:rPr>
        <w:t>79</w:t>
      </w:r>
      <w:r w:rsidRPr="00211D94">
        <w:rPr>
          <w:rFonts w:cs="Arial"/>
          <w:szCs w:val="24"/>
        </w:rPr>
        <w:t xml:space="preserve"> </w:t>
      </w:r>
      <w:proofErr w:type="spellStart"/>
      <w:r w:rsidRPr="00211D94">
        <w:rPr>
          <w:rFonts w:cs="Arial"/>
          <w:szCs w:val="24"/>
        </w:rPr>
        <w:t>UoD</w:t>
      </w:r>
      <w:proofErr w:type="spellEnd"/>
    </w:p>
    <w:p w14:paraId="4AD9CA2B" w14:textId="31D4C1F4" w:rsidR="002E298C" w:rsidRPr="00211D94" w:rsidRDefault="002E298C" w:rsidP="00F55865">
      <w:pPr>
        <w:numPr>
          <w:ilvl w:val="0"/>
          <w:numId w:val="6"/>
        </w:numPr>
        <w:spacing w:before="120" w:after="120"/>
        <w:rPr>
          <w:rFonts w:cs="Arial"/>
          <w:szCs w:val="24"/>
        </w:rPr>
      </w:pPr>
      <w:r w:rsidRPr="00211D94">
        <w:rPr>
          <w:rFonts w:cs="Arial"/>
          <w:szCs w:val="24"/>
        </w:rPr>
        <w:t>Rozkład przestrzenny projektów realizowanych w województwie pomorskim jest stosunkowo równomierny</w:t>
      </w:r>
      <w:r w:rsidR="00C82FC9" w:rsidRPr="00211D94">
        <w:rPr>
          <w:rFonts w:cs="Arial"/>
          <w:szCs w:val="24"/>
        </w:rPr>
        <w:t xml:space="preserve"> (Rys. 1)</w:t>
      </w:r>
    </w:p>
    <w:p w14:paraId="705603CB" w14:textId="4ED38DDC" w:rsidR="007B1BBE" w:rsidRPr="00211D94" w:rsidRDefault="00C82FC9" w:rsidP="00C11FDB">
      <w:pPr>
        <w:spacing w:before="120" w:after="120"/>
        <w:rPr>
          <w:rFonts w:cs="Arial"/>
          <w:sz w:val="22"/>
          <w:szCs w:val="24"/>
        </w:rPr>
      </w:pPr>
      <w:r w:rsidRPr="00211D94">
        <w:rPr>
          <w:noProof/>
        </w:rPr>
        <w:drawing>
          <wp:inline distT="0" distB="0" distL="0" distR="0" wp14:anchorId="18EA545F" wp14:editId="30A6DC0D">
            <wp:extent cx="5964974" cy="4217158"/>
            <wp:effectExtent l="0" t="0" r="0" b="0"/>
            <wp:docPr id="8" name="Obraz 8" descr="Mapa województwa pomorskiego przedstawiająca rozkład przestrzenny środków RPO WP w podziale na powiaty – wartość dofinansowania UE ogółem oraz pe capita (w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096" cy="4230677"/>
                    </a:xfrm>
                    <a:prstGeom prst="rect">
                      <a:avLst/>
                    </a:prstGeom>
                    <a:noFill/>
                    <a:ln>
                      <a:noFill/>
                    </a:ln>
                  </pic:spPr>
                </pic:pic>
              </a:graphicData>
            </a:graphic>
          </wp:inline>
        </w:drawing>
      </w:r>
      <w:r w:rsidRPr="00211D94">
        <w:rPr>
          <w:rFonts w:cs="Arial"/>
          <w:sz w:val="22"/>
          <w:szCs w:val="24"/>
        </w:rPr>
        <w:t xml:space="preserve">Rys. 1. </w:t>
      </w:r>
      <w:r w:rsidRPr="00211D94">
        <w:rPr>
          <w:rFonts w:cs="Arial"/>
          <w:bCs/>
          <w:sz w:val="22"/>
          <w:szCs w:val="24"/>
        </w:rPr>
        <w:t>Mapa województwa pomorskiego przedstawiająca rozkład przestrzenny środków RPO WP w podziale na powiaty</w:t>
      </w:r>
      <w:r w:rsidRPr="00211D94">
        <w:rPr>
          <w:rFonts w:cs="Arial"/>
          <w:sz w:val="22"/>
          <w:szCs w:val="24"/>
        </w:rPr>
        <w:t xml:space="preserve"> – wartość dofinansowania UE ogółem</w:t>
      </w:r>
      <w:r w:rsidR="00C11FDB" w:rsidRPr="00211D94">
        <w:rPr>
          <w:rFonts w:cs="Arial"/>
          <w:sz w:val="22"/>
          <w:szCs w:val="24"/>
        </w:rPr>
        <w:t xml:space="preserve"> oraz</w:t>
      </w:r>
      <w:r w:rsidRPr="00211D94">
        <w:rPr>
          <w:rFonts w:cs="Arial"/>
          <w:sz w:val="22"/>
          <w:szCs w:val="24"/>
        </w:rPr>
        <w:t xml:space="preserve"> pe</w:t>
      </w:r>
      <w:r w:rsidR="00C11FDB" w:rsidRPr="00211D94">
        <w:rPr>
          <w:rFonts w:cs="Arial"/>
          <w:sz w:val="22"/>
          <w:szCs w:val="24"/>
        </w:rPr>
        <w:t> </w:t>
      </w:r>
      <w:r w:rsidRPr="00211D94">
        <w:rPr>
          <w:rFonts w:cs="Arial"/>
          <w:sz w:val="22"/>
          <w:szCs w:val="24"/>
        </w:rPr>
        <w:t>capita (</w:t>
      </w:r>
      <w:r w:rsidRPr="00211D94">
        <w:rPr>
          <w:rFonts w:cs="Arial"/>
          <w:bCs/>
          <w:sz w:val="22"/>
          <w:szCs w:val="24"/>
        </w:rPr>
        <w:t>w</w:t>
      </w:r>
      <w:r w:rsidR="00C11FDB" w:rsidRPr="00211D94">
        <w:rPr>
          <w:rFonts w:cs="Arial"/>
          <w:bCs/>
          <w:sz w:val="22"/>
          <w:szCs w:val="24"/>
        </w:rPr>
        <w:t> </w:t>
      </w:r>
      <w:r w:rsidRPr="00211D94">
        <w:rPr>
          <w:rFonts w:cs="Arial"/>
          <w:bCs/>
          <w:sz w:val="22"/>
          <w:szCs w:val="24"/>
        </w:rPr>
        <w:t>EUR</w:t>
      </w:r>
      <w:r w:rsidRPr="00211D94">
        <w:rPr>
          <w:rFonts w:cs="Arial"/>
          <w:sz w:val="22"/>
          <w:szCs w:val="24"/>
        </w:rPr>
        <w:t>).</w:t>
      </w:r>
    </w:p>
    <w:p w14:paraId="219285C6" w14:textId="09788A15" w:rsidR="00C43D33" w:rsidRPr="00211D94" w:rsidRDefault="00816CBE" w:rsidP="00521AC9">
      <w:pPr>
        <w:spacing w:before="360" w:after="120"/>
        <w:rPr>
          <w:rFonts w:cs="Arial"/>
          <w:szCs w:val="24"/>
        </w:rPr>
      </w:pPr>
      <w:r w:rsidRPr="00211D94">
        <w:rPr>
          <w:rFonts w:cs="Arial"/>
          <w:szCs w:val="24"/>
        </w:rPr>
        <w:t>C</w:t>
      </w:r>
      <w:r w:rsidR="00C43D33" w:rsidRPr="00211D94">
        <w:rPr>
          <w:rFonts w:cs="Arial"/>
          <w:szCs w:val="24"/>
        </w:rPr>
        <w:t>ele końcowe wskaźników finansowych oraz rzeczowych Ram Wykonania we wszystkich Osiach Priorytetowych zostały osiągnięte</w:t>
      </w:r>
      <w:r w:rsidR="00931C43" w:rsidRPr="00211D94">
        <w:rPr>
          <w:rFonts w:cs="Arial"/>
          <w:szCs w:val="24"/>
        </w:rPr>
        <w:t xml:space="preserve"> (wartości przekraczają 85% celu końcowego).</w:t>
      </w:r>
    </w:p>
    <w:p w14:paraId="0D22D25A" w14:textId="3862D8E4" w:rsidR="00C43D33" w:rsidRPr="00211D94" w:rsidRDefault="00C43D33" w:rsidP="00F55865">
      <w:pPr>
        <w:spacing w:before="120" w:after="120"/>
        <w:rPr>
          <w:rFonts w:cs="Arial"/>
        </w:rPr>
      </w:pPr>
      <w:r w:rsidRPr="00211D94">
        <w:rPr>
          <w:rFonts w:cs="Arial"/>
        </w:rPr>
        <w:t>Raportowanie wskaźników w części EFS - zgodnie z zaleceniem KE, tam gdzie to jest możliwe wskaźniki wspólne i specyficzne raportowane są na podstawie formularzy danych uczestników składanych razem z wnioskami o płatność. W przypadku wskaźników kluczowych, dla których nie ma możliwości wykorzystania formularzy, wskaźniki specyficzne raportowane są na podstawie zatwierdzonych wniosków o płatność. Dane dotyczące wskaźników produktu i rezultatu odnoszą się do wartości dla operacji zrealizowanych w całości.</w:t>
      </w:r>
    </w:p>
    <w:p w14:paraId="0BEC7CDF" w14:textId="79119CDE" w:rsidR="00C43D33" w:rsidRPr="00211D94" w:rsidRDefault="00C43D33" w:rsidP="00F55865">
      <w:pPr>
        <w:spacing w:before="120" w:after="120"/>
        <w:rPr>
          <w:rFonts w:cs="Arial"/>
          <w:szCs w:val="24"/>
        </w:rPr>
      </w:pPr>
      <w:r w:rsidRPr="00211D94">
        <w:rPr>
          <w:rFonts w:cs="Arial"/>
          <w:szCs w:val="23"/>
        </w:rPr>
        <w:t xml:space="preserve">Postęp rzeczowy został przedstawiony w tabelach 2A, 2C, </w:t>
      </w:r>
      <w:r w:rsidR="00F12207" w:rsidRPr="00211D94">
        <w:rPr>
          <w:rFonts w:cs="Arial"/>
          <w:szCs w:val="23"/>
        </w:rPr>
        <w:t xml:space="preserve">3A, 3B, </w:t>
      </w:r>
      <w:r w:rsidRPr="00211D94">
        <w:rPr>
          <w:rFonts w:cs="Arial"/>
          <w:szCs w:val="23"/>
        </w:rPr>
        <w:t xml:space="preserve">4A, 4B, 5 oraz pkt 11.1 </w:t>
      </w:r>
      <w:r w:rsidR="00345CDA" w:rsidRPr="00211D94">
        <w:rPr>
          <w:rFonts w:cs="Arial"/>
          <w:szCs w:val="23"/>
        </w:rPr>
        <w:t>sprawozdania</w:t>
      </w:r>
      <w:r w:rsidRPr="00211D94">
        <w:rPr>
          <w:rFonts w:cs="Arial"/>
          <w:szCs w:val="23"/>
        </w:rPr>
        <w:t>.</w:t>
      </w:r>
    </w:p>
    <w:p w14:paraId="460DE8B5" w14:textId="77777777" w:rsidR="00BD36BB" w:rsidRPr="00211D94" w:rsidRDefault="00557289" w:rsidP="00F55865">
      <w:pPr>
        <w:pStyle w:val="Nagwek2"/>
        <w:spacing w:before="120" w:after="120"/>
        <w:rPr>
          <w:rFonts w:cs="Arial"/>
          <w:color w:val="FFFFFF" w:themeColor="background1"/>
        </w:rPr>
      </w:pPr>
      <w:bookmarkStart w:id="14" w:name="_Toc214025247"/>
      <w:r w:rsidRPr="00211D94">
        <w:rPr>
          <w:rFonts w:cs="Arial"/>
          <w:color w:val="FFFFFF" w:themeColor="background1"/>
        </w:rPr>
        <w:t xml:space="preserve">2.2 </w:t>
      </w:r>
      <w:r w:rsidR="00BD36BB" w:rsidRPr="00211D94">
        <w:rPr>
          <w:rFonts w:cs="Arial"/>
          <w:color w:val="FFFFFF" w:themeColor="background1"/>
        </w:rPr>
        <w:t>Ocena stanu wdrażania</w:t>
      </w:r>
      <w:bookmarkEnd w:id="14"/>
    </w:p>
    <w:p w14:paraId="39A9A562" w14:textId="77777777" w:rsidR="00C11FDB" w:rsidRPr="00211D94" w:rsidRDefault="00C11FDB" w:rsidP="00C11FDB">
      <w:pPr>
        <w:tabs>
          <w:tab w:val="left" w:pos="432"/>
        </w:tabs>
        <w:spacing w:before="120" w:after="120"/>
        <w:rPr>
          <w:rFonts w:cs="Arial"/>
          <w:szCs w:val="24"/>
        </w:rPr>
      </w:pPr>
      <w:r w:rsidRPr="00211D94">
        <w:rPr>
          <w:rFonts w:cs="Arial"/>
          <w:szCs w:val="24"/>
        </w:rPr>
        <w:t>Zgodnie z art. 92b ust. 7 rozporządzenia ogólnego państwa członkowskie muszą w końcowym sprawozdaniu wskazać:</w:t>
      </w:r>
      <w:r w:rsidRPr="00211D94">
        <w:rPr>
          <w:rFonts w:cs="Arial"/>
          <w:szCs w:val="24"/>
        </w:rPr>
        <w:br/>
        <w:t>(i) sposób wykorzystania dodatkowych płatności zaliczkowych z REACT-EU w odpowiedzi na wyzwania migracyjne związane z agresją Federacji Rosyjskiej, oraz</w:t>
      </w:r>
      <w:r w:rsidRPr="00211D94">
        <w:rPr>
          <w:rFonts w:cs="Arial"/>
          <w:szCs w:val="24"/>
        </w:rPr>
        <w:br/>
        <w:t>(ii) ich wkład w odbudowę gospodarki.</w:t>
      </w:r>
    </w:p>
    <w:p w14:paraId="3C3A701A" w14:textId="0CCD5F7C" w:rsidR="00C11FDB" w:rsidRPr="00211D94" w:rsidRDefault="00C11FDB" w:rsidP="00C11FDB">
      <w:pPr>
        <w:tabs>
          <w:tab w:val="left" w:pos="432"/>
        </w:tabs>
        <w:spacing w:before="120" w:after="120"/>
        <w:rPr>
          <w:rFonts w:cs="Arial"/>
          <w:szCs w:val="24"/>
        </w:rPr>
      </w:pPr>
      <w:r w:rsidRPr="00211D94">
        <w:rPr>
          <w:rFonts w:cs="Arial"/>
          <w:b/>
          <w:bCs/>
          <w:szCs w:val="24"/>
        </w:rPr>
        <w:t>(i)</w:t>
      </w:r>
      <w:r w:rsidRPr="00211D94">
        <w:rPr>
          <w:rFonts w:cs="Arial"/>
          <w:szCs w:val="24"/>
        </w:rPr>
        <w:t xml:space="preserve"> </w:t>
      </w:r>
      <w:r w:rsidR="00FE7D15" w:rsidRPr="00211D94">
        <w:rPr>
          <w:rFonts w:cs="Arial"/>
          <w:szCs w:val="24"/>
        </w:rPr>
        <w:t>IZ</w:t>
      </w:r>
      <w:r w:rsidRPr="00211D94">
        <w:rPr>
          <w:rFonts w:cs="Arial"/>
          <w:szCs w:val="24"/>
        </w:rPr>
        <w:t xml:space="preserve"> RPO informuje, że w celu sprostania wyzwaniom migracyjnym utworzono dodatkową oś priorytetową, jednak finansowanie pochodziło z realokacji środków EFS z osi 3 „Edukacja”, 5 „Zatrudnienie” i 6 „Integracja”, bez wykorzystania zasobów REACT-EU.</w:t>
      </w:r>
    </w:p>
    <w:p w14:paraId="28EB6492" w14:textId="77657618" w:rsidR="00C11FDB" w:rsidRPr="00211D94" w:rsidRDefault="00C11FDB" w:rsidP="00C11FDB">
      <w:pPr>
        <w:tabs>
          <w:tab w:val="left" w:pos="432"/>
        </w:tabs>
        <w:spacing w:before="120" w:after="120"/>
        <w:rPr>
          <w:rFonts w:cs="Arial"/>
          <w:szCs w:val="24"/>
        </w:rPr>
      </w:pPr>
      <w:r w:rsidRPr="00211D94">
        <w:rPr>
          <w:rFonts w:cs="Arial"/>
          <w:b/>
          <w:bCs/>
          <w:szCs w:val="24"/>
        </w:rPr>
        <w:t>(ii)</w:t>
      </w:r>
      <w:r w:rsidRPr="00211D94">
        <w:rPr>
          <w:rFonts w:cs="Arial"/>
          <w:szCs w:val="24"/>
        </w:rPr>
        <w:t xml:space="preserve"> </w:t>
      </w:r>
      <w:r w:rsidR="00FE7D15" w:rsidRPr="00211D94">
        <w:rPr>
          <w:rFonts w:cs="Arial"/>
          <w:szCs w:val="24"/>
        </w:rPr>
        <w:t>OP</w:t>
      </w:r>
      <w:r w:rsidRPr="00211D94">
        <w:rPr>
          <w:rFonts w:cs="Arial"/>
          <w:szCs w:val="24"/>
        </w:rPr>
        <w:t xml:space="preserve">13, ukierunkowana na odbudowę i zwiększenie odporności gospodarki poprzez wsparcie MŚP, rozwój OZE i łagodzenie skutków pandemii COVID-19, została zasilona środkami REACT-EU. Alokacja wyniosła 25 898 218 EUR i w całości </w:t>
      </w:r>
      <w:r w:rsidR="00FE7D15" w:rsidRPr="00211D94">
        <w:rPr>
          <w:rFonts w:cs="Arial"/>
          <w:szCs w:val="24"/>
        </w:rPr>
        <w:t>została przeznaczona na realizację</w:t>
      </w:r>
      <w:r w:rsidRPr="00211D94">
        <w:rPr>
          <w:rFonts w:cs="Arial"/>
          <w:szCs w:val="24"/>
        </w:rPr>
        <w:t xml:space="preserve"> 14 projektów (opis w pkt 11.1</w:t>
      </w:r>
      <w:r w:rsidR="00FE7D15" w:rsidRPr="00211D94">
        <w:rPr>
          <w:rFonts w:cs="Arial"/>
          <w:szCs w:val="24"/>
        </w:rPr>
        <w:t xml:space="preserve"> sprawozdania</w:t>
      </w:r>
      <w:r w:rsidRPr="00211D94">
        <w:rPr>
          <w:rFonts w:cs="Arial"/>
          <w:szCs w:val="24"/>
        </w:rPr>
        <w:t>).</w:t>
      </w:r>
    </w:p>
    <w:p w14:paraId="697E07AF" w14:textId="0A707BA5" w:rsidR="00C11FDB" w:rsidRPr="00211D94" w:rsidRDefault="00C11FDB" w:rsidP="00C11FDB">
      <w:pPr>
        <w:tabs>
          <w:tab w:val="left" w:pos="432"/>
        </w:tabs>
        <w:spacing w:before="120" w:after="120"/>
        <w:rPr>
          <w:rFonts w:cs="Arial"/>
          <w:szCs w:val="24"/>
        </w:rPr>
      </w:pPr>
      <w:r w:rsidRPr="00211D94">
        <w:rPr>
          <w:rFonts w:cs="Arial"/>
          <w:szCs w:val="24"/>
        </w:rPr>
        <w:t xml:space="preserve">Zgodnie z art. 98 ust. 4 IZ RPO informuje, że cała alokacja OP14 „Integracja imigrantów” została przeznaczona na trzy projekty </w:t>
      </w:r>
      <w:r w:rsidR="00FE7D15" w:rsidRPr="00211D94">
        <w:rPr>
          <w:rFonts w:cs="Arial"/>
          <w:szCs w:val="24"/>
        </w:rPr>
        <w:t>z</w:t>
      </w:r>
      <w:r w:rsidRPr="00211D94">
        <w:rPr>
          <w:rFonts w:cs="Arial"/>
          <w:szCs w:val="24"/>
        </w:rPr>
        <w:t>realizowane przez Samorząd Województwa Pomorskiego we współpracy z organizacjami społecznymi (szczegóły w pkt 11.1).</w:t>
      </w:r>
    </w:p>
    <w:p w14:paraId="22F9ABD4" w14:textId="380E82B1" w:rsidR="00C11FDB" w:rsidRPr="00211D94" w:rsidRDefault="00C11FDB" w:rsidP="00C11FDB">
      <w:pPr>
        <w:tabs>
          <w:tab w:val="left" w:pos="432"/>
        </w:tabs>
        <w:spacing w:before="120" w:after="120"/>
        <w:rPr>
          <w:rFonts w:cs="Arial"/>
          <w:szCs w:val="24"/>
        </w:rPr>
      </w:pPr>
      <w:r w:rsidRPr="00211D94">
        <w:rPr>
          <w:rFonts w:cs="Arial"/>
          <w:szCs w:val="24"/>
        </w:rPr>
        <w:t xml:space="preserve">IZ prowadziła monitoring wskaźników rezultatu </w:t>
      </w:r>
      <w:r w:rsidR="00FE7D15" w:rsidRPr="00211D94">
        <w:rPr>
          <w:rFonts w:cs="Arial"/>
          <w:szCs w:val="24"/>
        </w:rPr>
        <w:t xml:space="preserve">EFRR w ramach </w:t>
      </w:r>
      <w:r w:rsidRPr="00211D94">
        <w:rPr>
          <w:rFonts w:cs="Arial"/>
          <w:szCs w:val="24"/>
        </w:rPr>
        <w:t>RPO WP, oparty na danych GUS i analizie trendów (Tabela nr 1). Na ich kształt wpływały m.in. rozwój gospodarczy, rynek pracy, demografia, innowacyjność i polityka publiczna. Dane za 2023 r. wskazują, że większość wskaźników osiągnęła lub przekroczyła wartości docelowe mimo wpływu pandemii COVID-19 i agresji Rosji na Ukrainę.</w:t>
      </w:r>
    </w:p>
    <w:p w14:paraId="5F41A307" w14:textId="77777777" w:rsidR="00C11FDB" w:rsidRPr="00211D94" w:rsidRDefault="00C11FDB" w:rsidP="00C11FDB">
      <w:pPr>
        <w:tabs>
          <w:tab w:val="left" w:pos="432"/>
        </w:tabs>
        <w:spacing w:before="120" w:after="120"/>
        <w:rPr>
          <w:rFonts w:cs="Arial"/>
          <w:szCs w:val="24"/>
        </w:rPr>
      </w:pPr>
      <w:r w:rsidRPr="00211D94">
        <w:rPr>
          <w:rFonts w:cs="Arial"/>
          <w:b/>
          <w:bCs/>
          <w:szCs w:val="24"/>
        </w:rPr>
        <w:t>Wnioski ogólne:</w:t>
      </w:r>
      <w:r w:rsidRPr="00211D94">
        <w:rPr>
          <w:rFonts w:cs="Arial"/>
          <w:szCs w:val="24"/>
        </w:rPr>
        <w:br/>
        <w:t>Większość celów została zrealizowana, co potwierdza wysoką skuteczność RPO WP w zakresie innowacyjności, przedsiębiorczości, transportu, OZE, turystyki, kultury i ochrony środowiska.</w:t>
      </w:r>
    </w:p>
    <w:p w14:paraId="74183A87" w14:textId="04C081A3" w:rsidR="00C11FDB" w:rsidRPr="00211D94" w:rsidRDefault="00C11FDB" w:rsidP="00C11FDB">
      <w:pPr>
        <w:tabs>
          <w:tab w:val="left" w:pos="432"/>
        </w:tabs>
        <w:spacing w:before="120" w:after="120"/>
        <w:rPr>
          <w:rFonts w:cs="Arial"/>
          <w:b/>
          <w:bCs/>
          <w:szCs w:val="24"/>
        </w:rPr>
      </w:pPr>
      <w:r w:rsidRPr="00211D94">
        <w:rPr>
          <w:rFonts w:cs="Arial"/>
          <w:b/>
          <w:bCs/>
          <w:szCs w:val="24"/>
        </w:rPr>
        <w:t>Największe sukcesy:</w:t>
      </w:r>
    </w:p>
    <w:p w14:paraId="164FE3BF" w14:textId="77777777" w:rsidR="00FE7D15" w:rsidRPr="00211D94" w:rsidRDefault="00FE7D15" w:rsidP="00FE7D15">
      <w:pPr>
        <w:pStyle w:val="Akapitzlist"/>
        <w:numPr>
          <w:ilvl w:val="0"/>
          <w:numId w:val="72"/>
        </w:numPr>
        <w:spacing w:before="120" w:after="120"/>
        <w:ind w:left="714" w:hanging="357"/>
        <w:contextualSpacing w:val="0"/>
        <w:rPr>
          <w:rFonts w:cs="Arial"/>
          <w:szCs w:val="24"/>
        </w:rPr>
      </w:pPr>
      <w:r w:rsidRPr="00211D94">
        <w:rPr>
          <w:rFonts w:cs="Arial"/>
          <w:szCs w:val="24"/>
        </w:rPr>
        <w:t>Transformacja energetyczna – wysoki udział OZE w zużyciu energii brutto (OP10, OP13).</w:t>
      </w:r>
    </w:p>
    <w:p w14:paraId="11E0E524" w14:textId="77777777" w:rsidR="00FE7D15" w:rsidRPr="00211D94" w:rsidRDefault="00FE7D15" w:rsidP="00FE7D15">
      <w:pPr>
        <w:pStyle w:val="Akapitzlist"/>
        <w:numPr>
          <w:ilvl w:val="0"/>
          <w:numId w:val="72"/>
        </w:numPr>
        <w:spacing w:before="120" w:after="120"/>
        <w:ind w:left="714" w:hanging="357"/>
        <w:contextualSpacing w:val="0"/>
        <w:rPr>
          <w:rFonts w:cs="Arial"/>
          <w:szCs w:val="24"/>
        </w:rPr>
      </w:pPr>
      <w:r w:rsidRPr="00211D94">
        <w:rPr>
          <w:rFonts w:cs="Arial"/>
          <w:szCs w:val="24"/>
        </w:rPr>
        <w:t>Rozwój innowacyjności – wzrost nakładów na B+R i odsetka przedsiębiorstw innowacyjnych (OP1, OP2).</w:t>
      </w:r>
    </w:p>
    <w:p w14:paraId="7BC345E1" w14:textId="77777777" w:rsidR="00FE7D15" w:rsidRPr="00211D94" w:rsidRDefault="00FE7D15" w:rsidP="00FE7D15">
      <w:pPr>
        <w:pStyle w:val="Akapitzlist"/>
        <w:numPr>
          <w:ilvl w:val="0"/>
          <w:numId w:val="72"/>
        </w:numPr>
        <w:spacing w:line="276" w:lineRule="auto"/>
        <w:rPr>
          <w:rFonts w:cs="Arial"/>
          <w:szCs w:val="24"/>
        </w:rPr>
      </w:pPr>
      <w:r w:rsidRPr="00211D94">
        <w:rPr>
          <w:rFonts w:cs="Arial"/>
          <w:szCs w:val="24"/>
        </w:rPr>
        <w:t xml:space="preserve">Poprawa sytuacji w obszarze kształcenia zawodowego – spadek odsetka zarejestrowanych bezrobotnych z wykształceniem zasadniczym zawodowym oraz odsetka zarejestrowanych bezrobotnych absolwentów szkół wyższych w </w:t>
      </w:r>
      <w:proofErr w:type="spellStart"/>
      <w:r w:rsidRPr="00211D94">
        <w:rPr>
          <w:rFonts w:cs="Arial"/>
          <w:szCs w:val="24"/>
        </w:rPr>
        <w:t>subregionalnych</w:t>
      </w:r>
      <w:proofErr w:type="spellEnd"/>
      <w:r w:rsidRPr="00211D94">
        <w:rPr>
          <w:rFonts w:cs="Arial"/>
          <w:szCs w:val="24"/>
        </w:rPr>
        <w:t xml:space="preserve"> ośrodkach akademickich (OP4).</w:t>
      </w:r>
    </w:p>
    <w:p w14:paraId="0D5CC499" w14:textId="77777777" w:rsidR="00FE7D15" w:rsidRPr="00211D94" w:rsidRDefault="00FE7D15" w:rsidP="00FE7D15">
      <w:pPr>
        <w:pStyle w:val="Akapitzlist"/>
        <w:numPr>
          <w:ilvl w:val="0"/>
          <w:numId w:val="72"/>
        </w:numPr>
        <w:spacing w:before="120" w:after="120" w:line="276" w:lineRule="auto"/>
        <w:ind w:left="714" w:hanging="357"/>
        <w:contextualSpacing w:val="0"/>
        <w:rPr>
          <w:rFonts w:cs="Arial"/>
          <w:szCs w:val="24"/>
        </w:rPr>
      </w:pPr>
      <w:r w:rsidRPr="00211D94">
        <w:rPr>
          <w:rFonts w:cs="Arial"/>
          <w:szCs w:val="24"/>
        </w:rPr>
        <w:t>Poprawa infrastruktury transportowej – drogi w dobrym stanie, wzrost liczby pasażerów na kolei, poprawa dostępności transportowej (OP9).</w:t>
      </w:r>
    </w:p>
    <w:p w14:paraId="3AEEDECD" w14:textId="77777777" w:rsidR="00FE7D15" w:rsidRPr="00211D94" w:rsidRDefault="00FE7D15" w:rsidP="00FE7D15">
      <w:pPr>
        <w:pStyle w:val="Akapitzlist"/>
        <w:numPr>
          <w:ilvl w:val="0"/>
          <w:numId w:val="72"/>
        </w:numPr>
        <w:spacing w:before="120" w:after="120"/>
        <w:ind w:left="714" w:hanging="357"/>
        <w:contextualSpacing w:val="0"/>
        <w:rPr>
          <w:rFonts w:cs="Arial"/>
          <w:szCs w:val="24"/>
        </w:rPr>
      </w:pPr>
      <w:r w:rsidRPr="00211D94">
        <w:rPr>
          <w:rFonts w:cs="Arial"/>
          <w:szCs w:val="24"/>
        </w:rPr>
        <w:t>Turystyka i kultura – liczba osób korzystających z noclegów i odwiedzających muzea znacząco przekroczyła cele (OP8).</w:t>
      </w:r>
    </w:p>
    <w:p w14:paraId="683A0E9F" w14:textId="54D7B16B" w:rsidR="00FE7D15" w:rsidRPr="00211D94" w:rsidRDefault="00FE7D15" w:rsidP="00211D94">
      <w:pPr>
        <w:pStyle w:val="Akapitzlist"/>
        <w:numPr>
          <w:ilvl w:val="0"/>
          <w:numId w:val="72"/>
        </w:numPr>
        <w:spacing w:before="120" w:after="120"/>
        <w:ind w:left="714" w:hanging="357"/>
        <w:contextualSpacing w:val="0"/>
        <w:rPr>
          <w:rFonts w:cs="Arial"/>
          <w:szCs w:val="24"/>
        </w:rPr>
      </w:pPr>
      <w:r w:rsidRPr="00211D94">
        <w:rPr>
          <w:rFonts w:cs="Arial"/>
          <w:szCs w:val="24"/>
        </w:rPr>
        <w:t>Ochrona środowiska –</w:t>
      </w:r>
      <w:r w:rsidRPr="00211D94">
        <w:t xml:space="preserve"> </w:t>
      </w:r>
      <w:r w:rsidRPr="00211D94">
        <w:rPr>
          <w:rFonts w:cs="Arial"/>
          <w:szCs w:val="24"/>
        </w:rPr>
        <w:t>wzrost powierzchni obszarów chronionych (OP11).</w:t>
      </w:r>
    </w:p>
    <w:p w14:paraId="0B33DA84" w14:textId="77777777" w:rsidR="00C11FDB" w:rsidRPr="00211D94" w:rsidRDefault="00C11FDB" w:rsidP="00C11FDB">
      <w:pPr>
        <w:tabs>
          <w:tab w:val="left" w:pos="432"/>
        </w:tabs>
        <w:spacing w:before="120" w:after="120"/>
        <w:rPr>
          <w:rFonts w:cs="Arial"/>
          <w:szCs w:val="24"/>
        </w:rPr>
      </w:pPr>
      <w:r w:rsidRPr="00211D94">
        <w:rPr>
          <w:rFonts w:cs="Arial"/>
          <w:b/>
          <w:bCs/>
          <w:szCs w:val="24"/>
        </w:rPr>
        <w:t>Wskaźniki wymagające uwagi:</w:t>
      </w:r>
    </w:p>
    <w:p w14:paraId="5F52BE70" w14:textId="77777777" w:rsidR="00C11FDB" w:rsidRPr="00211D94" w:rsidRDefault="00C11FDB" w:rsidP="00C11FDB">
      <w:pPr>
        <w:numPr>
          <w:ilvl w:val="0"/>
          <w:numId w:val="89"/>
        </w:numPr>
        <w:tabs>
          <w:tab w:val="left" w:pos="432"/>
        </w:tabs>
        <w:spacing w:before="120" w:after="120"/>
        <w:rPr>
          <w:rFonts w:cs="Arial"/>
          <w:szCs w:val="24"/>
        </w:rPr>
      </w:pPr>
      <w:r w:rsidRPr="00211D94">
        <w:rPr>
          <w:rFonts w:cs="Arial"/>
          <w:szCs w:val="24"/>
        </w:rPr>
        <w:t>Eksport per capita, dostępność transportowa (OP2, OP9).</w:t>
      </w:r>
    </w:p>
    <w:p w14:paraId="0460C046" w14:textId="77777777" w:rsidR="00C11FDB" w:rsidRPr="00211D94" w:rsidRDefault="00C11FDB" w:rsidP="00C11FDB">
      <w:pPr>
        <w:numPr>
          <w:ilvl w:val="0"/>
          <w:numId w:val="89"/>
        </w:numPr>
        <w:tabs>
          <w:tab w:val="left" w:pos="432"/>
        </w:tabs>
        <w:spacing w:before="120" w:after="120"/>
        <w:rPr>
          <w:rFonts w:cs="Arial"/>
          <w:szCs w:val="24"/>
        </w:rPr>
      </w:pPr>
      <w:r w:rsidRPr="00211D94">
        <w:rPr>
          <w:rFonts w:cs="Arial"/>
          <w:szCs w:val="24"/>
        </w:rPr>
        <w:t>Odsetek wyrejestrowanych firm (OP13).</w:t>
      </w:r>
    </w:p>
    <w:p w14:paraId="0EBCEFB6" w14:textId="77777777" w:rsidR="00C11FDB" w:rsidRPr="00211D94" w:rsidRDefault="00C11FDB" w:rsidP="00C11FDB">
      <w:pPr>
        <w:numPr>
          <w:ilvl w:val="0"/>
          <w:numId w:val="89"/>
        </w:numPr>
        <w:tabs>
          <w:tab w:val="left" w:pos="432"/>
        </w:tabs>
        <w:spacing w:before="120" w:after="120"/>
        <w:rPr>
          <w:rFonts w:cs="Arial"/>
          <w:szCs w:val="24"/>
        </w:rPr>
      </w:pPr>
      <w:r w:rsidRPr="00211D94">
        <w:rPr>
          <w:rFonts w:cs="Arial"/>
          <w:szCs w:val="24"/>
        </w:rPr>
        <w:t>Wskaźniki dotyczące gospodarki wodno-ściekowej (OP11).</w:t>
      </w:r>
    </w:p>
    <w:p w14:paraId="0144C807" w14:textId="77777777" w:rsidR="00C11FDB" w:rsidRPr="00211D94" w:rsidRDefault="00C11FDB" w:rsidP="00C11FDB">
      <w:pPr>
        <w:numPr>
          <w:ilvl w:val="0"/>
          <w:numId w:val="89"/>
        </w:numPr>
        <w:tabs>
          <w:tab w:val="left" w:pos="432"/>
        </w:tabs>
        <w:spacing w:before="120" w:after="120"/>
        <w:rPr>
          <w:rFonts w:cs="Arial"/>
          <w:szCs w:val="24"/>
        </w:rPr>
      </w:pPr>
      <w:r w:rsidRPr="00211D94">
        <w:rPr>
          <w:rFonts w:cs="Arial"/>
          <w:szCs w:val="24"/>
        </w:rPr>
        <w:t>Średni pobyt w szpitalu – nieznacznie powyżej celu (OP7).</w:t>
      </w:r>
    </w:p>
    <w:p w14:paraId="46BA5CC8" w14:textId="77777777" w:rsidR="00C11FDB" w:rsidRPr="00211D94" w:rsidRDefault="00C11FDB" w:rsidP="00C11FDB">
      <w:pPr>
        <w:tabs>
          <w:tab w:val="left" w:pos="432"/>
        </w:tabs>
        <w:spacing w:before="120" w:after="120"/>
        <w:rPr>
          <w:rFonts w:cs="Arial"/>
          <w:szCs w:val="24"/>
        </w:rPr>
      </w:pPr>
      <w:r w:rsidRPr="00211D94">
        <w:rPr>
          <w:rFonts w:cs="Arial"/>
          <w:b/>
          <w:bCs/>
          <w:szCs w:val="24"/>
        </w:rPr>
        <w:t>Wpływ czynników zewnętrznych:</w:t>
      </w:r>
    </w:p>
    <w:p w14:paraId="76862CE3" w14:textId="77777777" w:rsidR="00C11FDB" w:rsidRPr="00211D94" w:rsidRDefault="00C11FDB" w:rsidP="00C11FDB">
      <w:pPr>
        <w:numPr>
          <w:ilvl w:val="0"/>
          <w:numId w:val="90"/>
        </w:numPr>
        <w:tabs>
          <w:tab w:val="left" w:pos="432"/>
        </w:tabs>
        <w:spacing w:before="120" w:after="120"/>
        <w:rPr>
          <w:rFonts w:cs="Arial"/>
          <w:szCs w:val="24"/>
        </w:rPr>
      </w:pPr>
      <w:r w:rsidRPr="00211D94">
        <w:rPr>
          <w:rFonts w:cs="Arial"/>
          <w:szCs w:val="24"/>
        </w:rPr>
        <w:t>COVID-19 – ograniczenia w mobilności, transporcie, turystyce i zdrowiu.</w:t>
      </w:r>
    </w:p>
    <w:p w14:paraId="1474E9AB" w14:textId="05FE7685" w:rsidR="00C11FDB" w:rsidRPr="00211D94" w:rsidRDefault="00C11FDB" w:rsidP="00C11FDB">
      <w:pPr>
        <w:numPr>
          <w:ilvl w:val="0"/>
          <w:numId w:val="90"/>
        </w:numPr>
        <w:tabs>
          <w:tab w:val="left" w:pos="432"/>
        </w:tabs>
        <w:spacing w:before="120" w:after="120"/>
        <w:rPr>
          <w:rFonts w:cs="Arial"/>
          <w:szCs w:val="24"/>
        </w:rPr>
      </w:pPr>
      <w:r w:rsidRPr="00211D94">
        <w:rPr>
          <w:rFonts w:cs="Arial"/>
          <w:szCs w:val="24"/>
        </w:rPr>
        <w:t>Agresja Rosji na Ukrainę – wpływ na rynek pracy, demografię i stabilność gospodarczą.</w:t>
      </w:r>
    </w:p>
    <w:p w14:paraId="65F356DE" w14:textId="77777777" w:rsidR="00FE7D15" w:rsidRPr="00211D94" w:rsidRDefault="00C11FDB" w:rsidP="00C11FDB">
      <w:pPr>
        <w:tabs>
          <w:tab w:val="left" w:pos="432"/>
        </w:tabs>
        <w:spacing w:before="120" w:after="120"/>
        <w:rPr>
          <w:rFonts w:cs="Arial"/>
          <w:szCs w:val="24"/>
        </w:rPr>
      </w:pPr>
      <w:r w:rsidRPr="00211D94">
        <w:rPr>
          <w:rFonts w:cs="Arial"/>
          <w:b/>
          <w:bCs/>
          <w:szCs w:val="24"/>
        </w:rPr>
        <w:t>Ocena końcowa:</w:t>
      </w:r>
      <w:r w:rsidRPr="00211D94">
        <w:rPr>
          <w:rFonts w:cs="Arial"/>
          <w:szCs w:val="24"/>
        </w:rPr>
        <w:br/>
        <w:t>Realizacja wskaźników jest wysoka. RPO WP skutecznie wspiera rozwój regionu w kluczowych obszarach, szczególnie w zakresie OZE, innowacyjności, edukacji zawodowej, turystyki, kultury, transportu i ochrony środowiska.</w:t>
      </w:r>
    </w:p>
    <w:p w14:paraId="6434F97E" w14:textId="06FE5444" w:rsidR="00C11FDB" w:rsidRPr="00211D94" w:rsidRDefault="00C11FDB" w:rsidP="00C11FDB">
      <w:pPr>
        <w:tabs>
          <w:tab w:val="left" w:pos="432"/>
        </w:tabs>
        <w:spacing w:before="120" w:after="120"/>
        <w:rPr>
          <w:rFonts w:cs="Arial"/>
          <w:szCs w:val="24"/>
        </w:rPr>
      </w:pPr>
      <w:r w:rsidRPr="00211D94">
        <w:rPr>
          <w:rFonts w:cs="Arial"/>
          <w:szCs w:val="24"/>
        </w:rPr>
        <w:t>Opis wskaźników rezultatu</w:t>
      </w:r>
      <w:r w:rsidR="00FE7D15" w:rsidRPr="00211D94">
        <w:rPr>
          <w:rFonts w:cs="Arial"/>
          <w:szCs w:val="24"/>
        </w:rPr>
        <w:t xml:space="preserve"> dla poszczególnych OP</w:t>
      </w:r>
      <w:r w:rsidRPr="00211D94">
        <w:rPr>
          <w:rFonts w:cs="Arial"/>
          <w:szCs w:val="24"/>
        </w:rPr>
        <w:t xml:space="preserve"> znajduje się w pkt 11.1 sprawozdania.</w:t>
      </w:r>
    </w:p>
    <w:p w14:paraId="243DF8EC" w14:textId="61689BAF" w:rsidR="00826881" w:rsidRPr="00211D94" w:rsidRDefault="00931C43" w:rsidP="00F55865">
      <w:pPr>
        <w:pStyle w:val="Nagwek2"/>
        <w:spacing w:before="120" w:after="120"/>
        <w:rPr>
          <w:rFonts w:cs="Arial"/>
          <w:color w:val="FFFFFF" w:themeColor="background1"/>
        </w:rPr>
      </w:pPr>
      <w:bookmarkStart w:id="15" w:name="_Toc214025248"/>
      <w:r w:rsidRPr="00211D94">
        <w:rPr>
          <w:rFonts w:cs="Arial"/>
          <w:color w:val="FFFFFF" w:themeColor="background1"/>
        </w:rPr>
        <w:t>2.</w:t>
      </w:r>
      <w:r w:rsidR="00DC7672" w:rsidRPr="00211D94">
        <w:rPr>
          <w:rFonts w:cs="Arial"/>
          <w:color w:val="FFFFFF" w:themeColor="background1"/>
        </w:rPr>
        <w:t>3</w:t>
      </w:r>
      <w:r w:rsidRPr="00211D94">
        <w:rPr>
          <w:rFonts w:cs="Arial"/>
          <w:color w:val="FFFFFF" w:themeColor="background1"/>
        </w:rPr>
        <w:t xml:space="preserve"> Instrumenty finansowe</w:t>
      </w:r>
      <w:bookmarkEnd w:id="15"/>
    </w:p>
    <w:p w14:paraId="56EB8B92" w14:textId="7980BEC6" w:rsidR="00826881" w:rsidRPr="00211D94" w:rsidRDefault="00826881" w:rsidP="00F55865">
      <w:pPr>
        <w:autoSpaceDE w:val="0"/>
        <w:autoSpaceDN w:val="0"/>
        <w:adjustRightInd w:val="0"/>
        <w:spacing w:before="120" w:after="120"/>
        <w:ind w:left="66"/>
        <w:rPr>
          <w:rFonts w:cs="Arial"/>
          <w:szCs w:val="24"/>
        </w:rPr>
      </w:pPr>
      <w:r w:rsidRPr="00211D94">
        <w:rPr>
          <w:rFonts w:cs="Arial"/>
          <w:szCs w:val="24"/>
        </w:rPr>
        <w:t xml:space="preserve">Całkowita alokacja przeznaczona na instrumenty finansowe (IF) w RPO WP 2014-2020 wyniosła 168,2 mln EUR. Na podstawie umów o finansowaniu zawartych przez </w:t>
      </w:r>
      <w:r w:rsidR="00931C43" w:rsidRPr="00211D94">
        <w:rPr>
          <w:rFonts w:cs="Arial"/>
          <w:szCs w:val="24"/>
        </w:rPr>
        <w:t>IZ</w:t>
      </w:r>
      <w:r w:rsidRPr="00211D94">
        <w:rPr>
          <w:rFonts w:cs="Arial"/>
          <w:szCs w:val="24"/>
        </w:rPr>
        <w:t xml:space="preserve"> RPO WP 2014-2020, IF wdrażane były przez trzy podmioty pełniące funkcję menadżerów funduszu funduszy, tj. Bank Gospodarstwa Krajowego (OP1, OP2), Europejski Bank Inwestycyjny (OP8, OP10) oraz Pomorski Fundusz Rozwoju sp. z o.o. (OP13). Wskazane podmioty wybrały, w wyniku przeprowadzonych postępowań, pośredników finansowych, z którymi podpisano 24 umowy operacyjne. W ramach powyższych umów udzielane były: </w:t>
      </w:r>
    </w:p>
    <w:p w14:paraId="255656F4" w14:textId="7513F32D" w:rsidR="00826881" w:rsidRPr="00211D94" w:rsidRDefault="00826881" w:rsidP="00F55865">
      <w:pPr>
        <w:pStyle w:val="Akapitzlist"/>
        <w:numPr>
          <w:ilvl w:val="0"/>
          <w:numId w:val="68"/>
        </w:numPr>
        <w:autoSpaceDE w:val="0"/>
        <w:autoSpaceDN w:val="0"/>
        <w:adjustRightInd w:val="0"/>
        <w:spacing w:before="120" w:after="120" w:line="276" w:lineRule="auto"/>
        <w:rPr>
          <w:rFonts w:cs="Arial"/>
          <w:szCs w:val="24"/>
        </w:rPr>
      </w:pPr>
      <w:r w:rsidRPr="00211D94">
        <w:rPr>
          <w:rFonts w:cs="Arial"/>
          <w:szCs w:val="24"/>
        </w:rPr>
        <w:t xml:space="preserve">pożyczki i wejścia kapitałowe dla przedsiębiorstw na rozwój działalności B+R w OP1, </w:t>
      </w:r>
    </w:p>
    <w:p w14:paraId="7C528C3A" w14:textId="5416FE05" w:rsidR="00826881" w:rsidRPr="00211D94" w:rsidRDefault="00826881" w:rsidP="00F55865">
      <w:pPr>
        <w:pStyle w:val="Akapitzlist"/>
        <w:numPr>
          <w:ilvl w:val="0"/>
          <w:numId w:val="68"/>
        </w:numPr>
        <w:autoSpaceDE w:val="0"/>
        <w:autoSpaceDN w:val="0"/>
        <w:adjustRightInd w:val="0"/>
        <w:spacing w:before="120" w:after="120" w:line="276" w:lineRule="auto"/>
        <w:rPr>
          <w:rFonts w:cs="Arial"/>
          <w:szCs w:val="24"/>
        </w:rPr>
      </w:pPr>
      <w:r w:rsidRPr="00211D94">
        <w:rPr>
          <w:rFonts w:cs="Arial"/>
          <w:szCs w:val="24"/>
        </w:rPr>
        <w:t xml:space="preserve">pożyczki i poręczenia dla MŚP, </w:t>
      </w:r>
      <w:bookmarkStart w:id="16" w:name="_Hlk212729515"/>
      <w:r w:rsidRPr="00211D94">
        <w:rPr>
          <w:rFonts w:cs="Arial"/>
          <w:szCs w:val="24"/>
        </w:rPr>
        <w:t>w tym dla przedsiębiorstw dotkniętych skutkami pandemii COVID-19</w:t>
      </w:r>
      <w:bookmarkEnd w:id="16"/>
      <w:r w:rsidRPr="00211D94">
        <w:rPr>
          <w:rFonts w:cs="Arial"/>
          <w:szCs w:val="24"/>
        </w:rPr>
        <w:t>, w OP2,</w:t>
      </w:r>
    </w:p>
    <w:p w14:paraId="05DA991D" w14:textId="76B05292" w:rsidR="00826881" w:rsidRPr="00211D94" w:rsidRDefault="00826881" w:rsidP="00F55865">
      <w:pPr>
        <w:pStyle w:val="Akapitzlist"/>
        <w:numPr>
          <w:ilvl w:val="0"/>
          <w:numId w:val="68"/>
        </w:numPr>
        <w:autoSpaceDE w:val="0"/>
        <w:autoSpaceDN w:val="0"/>
        <w:adjustRightInd w:val="0"/>
        <w:spacing w:before="120" w:after="120" w:line="276" w:lineRule="auto"/>
        <w:rPr>
          <w:rFonts w:cs="Arial"/>
          <w:szCs w:val="24"/>
        </w:rPr>
      </w:pPr>
      <w:r w:rsidRPr="00211D94">
        <w:rPr>
          <w:rFonts w:cs="Arial"/>
          <w:szCs w:val="24"/>
        </w:rPr>
        <w:t xml:space="preserve">pożyczki na rewitalizację obszarów miejskich w OP8, </w:t>
      </w:r>
    </w:p>
    <w:p w14:paraId="2E30B3BF" w14:textId="2BCC81C2" w:rsidR="00826881" w:rsidRPr="00211D94" w:rsidRDefault="00826881" w:rsidP="00F55865">
      <w:pPr>
        <w:pStyle w:val="Akapitzlist"/>
        <w:numPr>
          <w:ilvl w:val="0"/>
          <w:numId w:val="68"/>
        </w:numPr>
        <w:autoSpaceDE w:val="0"/>
        <w:autoSpaceDN w:val="0"/>
        <w:adjustRightInd w:val="0"/>
        <w:spacing w:before="120" w:after="120" w:line="276" w:lineRule="auto"/>
        <w:rPr>
          <w:rFonts w:cs="Arial"/>
          <w:szCs w:val="24"/>
        </w:rPr>
      </w:pPr>
      <w:r w:rsidRPr="00211D94">
        <w:rPr>
          <w:rFonts w:cs="Arial"/>
          <w:szCs w:val="24"/>
        </w:rPr>
        <w:t xml:space="preserve">pożyczki na modernizację energetyczną wielorodzinnych budynków mieszkalnych i budynków użyteczności publicznej oraz pożyczki na rozwój odnawialnych źródeł energii w OP10 oraz </w:t>
      </w:r>
    </w:p>
    <w:p w14:paraId="1D6C616F" w14:textId="4BE2CB5F" w:rsidR="00826881" w:rsidRPr="00211D94" w:rsidRDefault="00826881" w:rsidP="00F55865">
      <w:pPr>
        <w:pStyle w:val="Akapitzlist"/>
        <w:numPr>
          <w:ilvl w:val="0"/>
          <w:numId w:val="68"/>
        </w:numPr>
        <w:autoSpaceDE w:val="0"/>
        <w:autoSpaceDN w:val="0"/>
        <w:adjustRightInd w:val="0"/>
        <w:spacing w:before="120" w:after="120" w:line="276" w:lineRule="auto"/>
        <w:rPr>
          <w:rFonts w:cs="Arial"/>
          <w:szCs w:val="24"/>
        </w:rPr>
      </w:pPr>
      <w:r w:rsidRPr="00211D94">
        <w:rPr>
          <w:rFonts w:cs="Arial"/>
          <w:szCs w:val="24"/>
        </w:rPr>
        <w:t xml:space="preserve">pożyczki dla MŚP, na odbudowywanie ich pozycji rynkowej oraz zwiększenie odporności (w celu łagodzenia skutków COVID -19), w OP13. </w:t>
      </w:r>
    </w:p>
    <w:p w14:paraId="61E297E5" w14:textId="77777777" w:rsidR="00826881" w:rsidRPr="00211D94" w:rsidRDefault="00826881" w:rsidP="00F55865">
      <w:pPr>
        <w:autoSpaceDE w:val="0"/>
        <w:autoSpaceDN w:val="0"/>
        <w:adjustRightInd w:val="0"/>
        <w:spacing w:before="120" w:after="120"/>
        <w:ind w:left="66"/>
        <w:rPr>
          <w:rFonts w:cs="Arial"/>
          <w:szCs w:val="24"/>
        </w:rPr>
      </w:pPr>
      <w:bookmarkStart w:id="17" w:name="_Hlk212729564"/>
      <w:r w:rsidRPr="00211D94">
        <w:rPr>
          <w:rFonts w:cs="Arial"/>
          <w:szCs w:val="24"/>
        </w:rPr>
        <w:t>Łącznie udzielono 3 279 wsparć ostatecznym odbiorcom, w tym 15 wejść kapitałowych oraz 260 poręczeń.</w:t>
      </w:r>
    </w:p>
    <w:bookmarkEnd w:id="17"/>
    <w:p w14:paraId="2581050D" w14:textId="2DF70662" w:rsidR="00826881" w:rsidRPr="00211D94" w:rsidRDefault="00826881" w:rsidP="00F55865">
      <w:pPr>
        <w:autoSpaceDE w:val="0"/>
        <w:autoSpaceDN w:val="0"/>
        <w:adjustRightInd w:val="0"/>
        <w:spacing w:before="120" w:after="120"/>
        <w:ind w:left="66"/>
        <w:rPr>
          <w:rFonts w:cs="Arial"/>
          <w:szCs w:val="24"/>
        </w:rPr>
      </w:pPr>
      <w:r w:rsidRPr="00211D94">
        <w:rPr>
          <w:rFonts w:cs="Arial"/>
          <w:szCs w:val="24"/>
        </w:rPr>
        <w:t xml:space="preserve">Szczegółowe informacje dot. IF, w tym wskaźników, znajdują się </w:t>
      </w:r>
      <w:r w:rsidR="00931C43" w:rsidRPr="00211D94">
        <w:rPr>
          <w:rFonts w:cs="Arial"/>
          <w:szCs w:val="24"/>
        </w:rPr>
        <w:t xml:space="preserve">w </w:t>
      </w:r>
      <w:r w:rsidRPr="00211D94">
        <w:rPr>
          <w:rFonts w:cs="Arial"/>
          <w:szCs w:val="24"/>
        </w:rPr>
        <w:t>pkt 8</w:t>
      </w:r>
      <w:r w:rsidR="00931C43" w:rsidRPr="00211D94">
        <w:rPr>
          <w:rFonts w:cs="Arial"/>
          <w:szCs w:val="24"/>
        </w:rPr>
        <w:t>.</w:t>
      </w:r>
      <w:r w:rsidRPr="00211D94">
        <w:rPr>
          <w:rFonts w:cs="Arial"/>
          <w:szCs w:val="24"/>
        </w:rPr>
        <w:t xml:space="preserve"> </w:t>
      </w:r>
      <w:r w:rsidR="00345CDA" w:rsidRPr="00211D94">
        <w:rPr>
          <w:rFonts w:cs="Arial"/>
          <w:szCs w:val="24"/>
        </w:rPr>
        <w:t>s</w:t>
      </w:r>
      <w:r w:rsidRPr="00211D94">
        <w:rPr>
          <w:rFonts w:cs="Arial"/>
          <w:szCs w:val="24"/>
        </w:rPr>
        <w:t>prawozdania.</w:t>
      </w:r>
    </w:p>
    <w:p w14:paraId="339103BD" w14:textId="3577B1A1" w:rsidR="00500D4F" w:rsidRPr="00211D94" w:rsidRDefault="00500D4F" w:rsidP="00F55865">
      <w:pPr>
        <w:pStyle w:val="Nagwek1"/>
        <w:spacing w:before="120" w:after="120"/>
        <w:rPr>
          <w:rFonts w:cs="Arial"/>
          <w:color w:val="FFFFFF" w:themeColor="background1"/>
          <w:szCs w:val="24"/>
        </w:rPr>
      </w:pPr>
      <w:bookmarkStart w:id="18" w:name="_Toc214025249"/>
      <w:r w:rsidRPr="00211D94">
        <w:rPr>
          <w:rFonts w:cs="Arial"/>
          <w:color w:val="FFFFFF" w:themeColor="background1"/>
          <w:szCs w:val="24"/>
        </w:rPr>
        <w:t>3.</w:t>
      </w:r>
      <w:r w:rsidR="00D75E57" w:rsidRPr="00211D94">
        <w:rPr>
          <w:rFonts w:cs="Arial"/>
          <w:color w:val="FFFFFF" w:themeColor="background1"/>
          <w:szCs w:val="24"/>
        </w:rPr>
        <w:t>W</w:t>
      </w:r>
      <w:r w:rsidR="00274503" w:rsidRPr="00211D94">
        <w:rPr>
          <w:rFonts w:cs="Arial"/>
          <w:color w:val="FFFFFF" w:themeColor="background1"/>
          <w:szCs w:val="24"/>
        </w:rPr>
        <w:t xml:space="preserve">drażanie osi priorytetowej </w:t>
      </w:r>
      <w:r w:rsidRPr="00211D94">
        <w:rPr>
          <w:rFonts w:cs="Arial"/>
          <w:color w:val="FFFFFF" w:themeColor="background1"/>
          <w:szCs w:val="24"/>
        </w:rPr>
        <w:t xml:space="preserve">(art. 50 ust. 2 rozporządzenia </w:t>
      </w:r>
      <w:r w:rsidR="00726583" w:rsidRPr="00211D94">
        <w:rPr>
          <w:rFonts w:cs="Arial"/>
          <w:color w:val="FFFFFF" w:themeColor="background1"/>
          <w:szCs w:val="24"/>
        </w:rPr>
        <w:t>ogólnego</w:t>
      </w:r>
      <w:r w:rsidR="00A9175B" w:rsidRPr="00211D94">
        <w:rPr>
          <w:rFonts w:cs="Arial"/>
          <w:color w:val="FFFFFF" w:themeColor="background1"/>
          <w:szCs w:val="24"/>
        </w:rPr>
        <w:t>)</w:t>
      </w:r>
      <w:bookmarkEnd w:id="18"/>
    </w:p>
    <w:p w14:paraId="5D494A18" w14:textId="77777777" w:rsidR="00500D4F" w:rsidRPr="00211D94" w:rsidRDefault="00500D4F" w:rsidP="00F55865">
      <w:pPr>
        <w:pStyle w:val="Nagwek2"/>
        <w:spacing w:before="120" w:after="120"/>
        <w:rPr>
          <w:rStyle w:val="bold"/>
          <w:rFonts w:cs="Arial"/>
          <w:iCs w:val="0"/>
          <w:color w:val="FFFFFF" w:themeColor="background1"/>
          <w:kern w:val="32"/>
          <w:sz w:val="32"/>
          <w:szCs w:val="32"/>
        </w:rPr>
      </w:pPr>
      <w:bookmarkStart w:id="19" w:name="_Toc214025250"/>
      <w:r w:rsidRPr="00211D94">
        <w:rPr>
          <w:rFonts w:cs="Arial"/>
          <w:color w:val="FFFFFF" w:themeColor="background1"/>
        </w:rPr>
        <w:t>3.1</w:t>
      </w:r>
      <w:r w:rsidR="000C40AD" w:rsidRPr="00211D94">
        <w:rPr>
          <w:rFonts w:cs="Arial"/>
          <w:color w:val="FFFFFF" w:themeColor="background1"/>
        </w:rPr>
        <w:t xml:space="preserve">. </w:t>
      </w:r>
      <w:r w:rsidRPr="00211D94">
        <w:rPr>
          <w:rStyle w:val="bold"/>
          <w:rFonts w:cs="Arial"/>
          <w:color w:val="FFFFFF" w:themeColor="background1"/>
        </w:rPr>
        <w:t>Przegląd wdrażania</w:t>
      </w:r>
      <w:bookmarkEnd w:id="19"/>
    </w:p>
    <w:p w14:paraId="76CDAC98" w14:textId="1EC80B18" w:rsidR="009732B9" w:rsidRPr="00211D94" w:rsidRDefault="00EA2E58" w:rsidP="00F55865">
      <w:pPr>
        <w:pStyle w:val="Nagwek3"/>
        <w:spacing w:before="120" w:after="120"/>
        <w:rPr>
          <w:rFonts w:cs="Arial"/>
          <w:color w:val="FFFFFF" w:themeColor="background1"/>
        </w:rPr>
      </w:pPr>
      <w:bookmarkStart w:id="20" w:name="_Toc433328"/>
      <w:bookmarkStart w:id="21" w:name="_Toc3973341"/>
      <w:bookmarkStart w:id="22" w:name="_Toc214025251"/>
      <w:r w:rsidRPr="00211D94">
        <w:rPr>
          <w:rFonts w:cs="Arial"/>
          <w:color w:val="FFFFFF" w:themeColor="background1"/>
        </w:rPr>
        <w:t>3.1.</w:t>
      </w:r>
      <w:r w:rsidR="00806731" w:rsidRPr="00211D94">
        <w:rPr>
          <w:rFonts w:cs="Arial"/>
          <w:color w:val="FFFFFF" w:themeColor="background1"/>
        </w:rPr>
        <w:t>1</w:t>
      </w:r>
      <w:r w:rsidRPr="00211D94">
        <w:rPr>
          <w:rFonts w:cs="Arial"/>
          <w:color w:val="FFFFFF" w:themeColor="background1"/>
        </w:rPr>
        <w:t xml:space="preserve">. </w:t>
      </w:r>
      <w:r w:rsidR="009732B9" w:rsidRPr="00211D94">
        <w:rPr>
          <w:rFonts w:cs="Arial"/>
          <w:color w:val="FFFFFF" w:themeColor="background1"/>
        </w:rPr>
        <w:t>Oś Priorytetowa 1. Komercjalizacja wiedzy.</w:t>
      </w:r>
      <w:bookmarkStart w:id="23" w:name="_Hlk204759648"/>
      <w:bookmarkEnd w:id="20"/>
      <w:bookmarkEnd w:id="21"/>
      <w:bookmarkEnd w:id="22"/>
    </w:p>
    <w:p w14:paraId="660E9617"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6B68F529" w14:textId="4A20736D"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67 </w:t>
      </w:r>
      <w:proofErr w:type="spellStart"/>
      <w:r w:rsidRPr="00211D94">
        <w:rPr>
          <w:rFonts w:cs="Arial"/>
          <w:szCs w:val="24"/>
        </w:rPr>
        <w:t>UoD-dof.UE</w:t>
      </w:r>
      <w:proofErr w:type="spellEnd"/>
      <w:r w:rsidRPr="00211D94">
        <w:rPr>
          <w:rFonts w:cs="Arial"/>
          <w:szCs w:val="24"/>
        </w:rPr>
        <w:t xml:space="preserve"> </w:t>
      </w:r>
      <w:r w:rsidR="000C0E2C" w:rsidRPr="00211D94">
        <w:rPr>
          <w:rFonts w:cs="Arial"/>
          <w:szCs w:val="24"/>
        </w:rPr>
        <w:t>82,0</w:t>
      </w:r>
      <w:r w:rsidRPr="00211D94">
        <w:rPr>
          <w:rFonts w:cs="Arial"/>
          <w:szCs w:val="24"/>
        </w:rPr>
        <w:t xml:space="preserve"> mln EUR–</w:t>
      </w:r>
      <w:r w:rsidR="000C0E2C" w:rsidRPr="00211D94">
        <w:rPr>
          <w:rFonts w:cs="Arial"/>
          <w:szCs w:val="24"/>
        </w:rPr>
        <w:t>106,5</w:t>
      </w:r>
      <w:r w:rsidRPr="00211D94">
        <w:rPr>
          <w:rFonts w:cs="Arial"/>
          <w:szCs w:val="24"/>
        </w:rPr>
        <w:t xml:space="preserve">% alokacji, ogółem </w:t>
      </w:r>
      <w:r w:rsidR="000C0E2C" w:rsidRPr="00211D94">
        <w:rPr>
          <w:rFonts w:cs="Arial"/>
          <w:szCs w:val="24"/>
        </w:rPr>
        <w:t>136,4</w:t>
      </w:r>
      <w:r w:rsidRPr="00211D94">
        <w:rPr>
          <w:rFonts w:cs="Arial"/>
          <w:szCs w:val="24"/>
        </w:rPr>
        <w:t xml:space="preserve"> mln EUR</w:t>
      </w:r>
    </w:p>
    <w:p w14:paraId="349212C4" w14:textId="400978EB"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0C0E2C" w:rsidRPr="00211D94">
        <w:rPr>
          <w:rFonts w:cs="Arial"/>
          <w:szCs w:val="24"/>
        </w:rPr>
        <w:t>78,9</w:t>
      </w:r>
      <w:r w:rsidRPr="00211D94">
        <w:rPr>
          <w:rFonts w:cs="Arial"/>
          <w:szCs w:val="24"/>
        </w:rPr>
        <w:t xml:space="preserve"> mln EUR–</w:t>
      </w:r>
      <w:r w:rsidR="000C0E2C" w:rsidRPr="00211D94">
        <w:rPr>
          <w:rFonts w:cs="Arial"/>
          <w:szCs w:val="24"/>
        </w:rPr>
        <w:t>102,5</w:t>
      </w:r>
      <w:r w:rsidRPr="00211D94">
        <w:rPr>
          <w:rFonts w:cs="Arial"/>
          <w:szCs w:val="24"/>
        </w:rPr>
        <w:t xml:space="preserve">% alokacji, ogółem </w:t>
      </w:r>
      <w:r w:rsidR="000C0E2C" w:rsidRPr="00211D94">
        <w:rPr>
          <w:rFonts w:cs="Arial"/>
          <w:szCs w:val="24"/>
        </w:rPr>
        <w:t>135,4</w:t>
      </w:r>
      <w:r w:rsidRPr="00211D94">
        <w:rPr>
          <w:rFonts w:cs="Arial"/>
          <w:szCs w:val="24"/>
        </w:rPr>
        <w:t xml:space="preserve"> mln EUR</w:t>
      </w:r>
    </w:p>
    <w:p w14:paraId="62E6C031" w14:textId="126565C4" w:rsidR="009732B9" w:rsidRPr="00211D94" w:rsidRDefault="0003429A" w:rsidP="00F55865">
      <w:pPr>
        <w:numPr>
          <w:ilvl w:val="0"/>
          <w:numId w:val="1"/>
        </w:numPr>
        <w:spacing w:before="120" w:after="120"/>
        <w:ind w:left="284" w:hanging="283"/>
        <w:rPr>
          <w:rFonts w:cs="Arial"/>
          <w:szCs w:val="24"/>
        </w:rPr>
      </w:pPr>
      <w:r w:rsidRPr="00211D94">
        <w:rPr>
          <w:rFonts w:cs="Arial"/>
          <w:szCs w:val="24"/>
        </w:rPr>
        <w:t xml:space="preserve">certyfikowano kwotę </w:t>
      </w:r>
      <w:proofErr w:type="spellStart"/>
      <w:r w:rsidRPr="00211D94">
        <w:rPr>
          <w:rFonts w:cs="Arial"/>
          <w:szCs w:val="24"/>
        </w:rPr>
        <w:t>dof.UE</w:t>
      </w:r>
      <w:proofErr w:type="spellEnd"/>
      <w:r w:rsidR="009732B9" w:rsidRPr="00211D94">
        <w:rPr>
          <w:rFonts w:cs="Arial"/>
          <w:szCs w:val="24"/>
        </w:rPr>
        <w:t xml:space="preserve"> </w:t>
      </w:r>
      <w:r w:rsidR="000C0E2C" w:rsidRPr="00211D94">
        <w:rPr>
          <w:rFonts w:cs="Arial"/>
          <w:szCs w:val="24"/>
        </w:rPr>
        <w:t>77,0</w:t>
      </w:r>
      <w:r w:rsidR="009732B9" w:rsidRPr="00211D94">
        <w:rPr>
          <w:rFonts w:cs="Arial"/>
          <w:szCs w:val="24"/>
        </w:rPr>
        <w:t xml:space="preserve"> mln EUR–</w:t>
      </w:r>
      <w:r w:rsidR="000C0E2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0C0E2C" w:rsidRPr="00211D94">
        <w:rPr>
          <w:rFonts w:cs="Arial"/>
          <w:szCs w:val="24"/>
        </w:rPr>
        <w:t>107,</w:t>
      </w:r>
      <w:r w:rsidR="006C7A2D" w:rsidRPr="00211D94">
        <w:rPr>
          <w:rFonts w:cs="Arial"/>
          <w:szCs w:val="24"/>
        </w:rPr>
        <w:t>2</w:t>
      </w:r>
      <w:r w:rsidR="009732B9" w:rsidRPr="00211D94">
        <w:rPr>
          <w:rFonts w:cs="Arial"/>
          <w:szCs w:val="24"/>
        </w:rPr>
        <w:t xml:space="preserve"> mln EUR</w:t>
      </w:r>
    </w:p>
    <w:p w14:paraId="49681395" w14:textId="77777777" w:rsidR="009732B9" w:rsidRPr="00211D94" w:rsidRDefault="009732B9" w:rsidP="00F55865">
      <w:pPr>
        <w:spacing w:before="120" w:after="120"/>
        <w:rPr>
          <w:rFonts w:cs="Arial"/>
          <w:szCs w:val="24"/>
        </w:rPr>
      </w:pPr>
      <w:r w:rsidRPr="00211D94">
        <w:rPr>
          <w:rFonts w:cs="Arial"/>
          <w:szCs w:val="24"/>
        </w:rPr>
        <w:t>Charakterystyka projektów</w:t>
      </w:r>
    </w:p>
    <w:p w14:paraId="38C417AB"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Przedsiębiorcy (89,6%), szkoły/uczelnie/jednostki naukowe (7,5%), jednostki administracji rządowej (1,5%), inne (1,4%)</w:t>
      </w:r>
    </w:p>
    <w:p w14:paraId="55CCBB1C" w14:textId="77777777" w:rsidR="009732B9" w:rsidRPr="00211D94" w:rsidRDefault="009732B9" w:rsidP="00F55865">
      <w:pPr>
        <w:numPr>
          <w:ilvl w:val="0"/>
          <w:numId w:val="6"/>
        </w:numPr>
        <w:spacing w:before="120" w:after="120"/>
        <w:rPr>
          <w:rFonts w:cs="Arial"/>
          <w:szCs w:val="24"/>
        </w:rPr>
      </w:pPr>
      <w:r w:rsidRPr="00211D94">
        <w:rPr>
          <w:rFonts w:cs="Arial"/>
          <w:szCs w:val="24"/>
        </w:rPr>
        <w:t>Główne rodzaje dział. gosp.: inne niewyszczególnione usługi; działania informacyjno-komunikacyjne, w tym telekomunikacja, usługi informacyjne, programowanie, doradztwo i działalność pokrewna</w:t>
      </w:r>
    </w:p>
    <w:p w14:paraId="2A32FFA8"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62.01.Z, 72.19.Z</w:t>
      </w:r>
    </w:p>
    <w:p w14:paraId="0186ABBF" w14:textId="77777777" w:rsidR="009732B9" w:rsidRPr="00211D94" w:rsidRDefault="009732B9" w:rsidP="00F55865">
      <w:pPr>
        <w:pStyle w:val="Akapitzlist"/>
        <w:numPr>
          <w:ilvl w:val="0"/>
          <w:numId w:val="6"/>
        </w:numPr>
        <w:spacing w:before="120" w:after="120" w:line="276" w:lineRule="auto"/>
        <w:ind w:left="357" w:hanging="357"/>
        <w:contextualSpacing w:val="0"/>
        <w:rPr>
          <w:rFonts w:cs="Arial"/>
          <w:szCs w:val="24"/>
        </w:rPr>
      </w:pPr>
      <w:r w:rsidRPr="00211D94">
        <w:rPr>
          <w:rFonts w:cs="Arial"/>
          <w:szCs w:val="24"/>
        </w:rPr>
        <w:t>86,6% projektów na obszarach miejskich</w:t>
      </w:r>
    </w:p>
    <w:p w14:paraId="26777E74" w14:textId="77777777" w:rsidR="009732B9" w:rsidRPr="00211D94" w:rsidRDefault="009732B9" w:rsidP="00F55865">
      <w:pPr>
        <w:numPr>
          <w:ilvl w:val="0"/>
          <w:numId w:val="6"/>
        </w:numPr>
        <w:spacing w:before="120" w:after="120"/>
        <w:rPr>
          <w:rFonts w:cs="Arial"/>
          <w:szCs w:val="24"/>
        </w:rPr>
      </w:pPr>
      <w:r w:rsidRPr="00211D94">
        <w:rPr>
          <w:rFonts w:cs="Arial"/>
          <w:szCs w:val="24"/>
        </w:rPr>
        <w:t>9,0% projektów na obszarach wiejskich</w:t>
      </w:r>
    </w:p>
    <w:p w14:paraId="6524802E" w14:textId="77777777" w:rsidR="000E242F" w:rsidRPr="00211D94" w:rsidRDefault="009732B9" w:rsidP="00F55865">
      <w:pPr>
        <w:spacing w:before="120" w:after="120"/>
        <w:rPr>
          <w:rFonts w:cs="Arial"/>
          <w:szCs w:val="24"/>
        </w:rPr>
      </w:pPr>
      <w:r w:rsidRPr="00211D94">
        <w:rPr>
          <w:rFonts w:cs="Arial"/>
          <w:szCs w:val="24"/>
        </w:rPr>
        <w:t>Ramy wykonania</w:t>
      </w:r>
      <w:r w:rsidR="000E242F" w:rsidRPr="00211D94">
        <w:rPr>
          <w:rFonts w:cs="Arial"/>
          <w:szCs w:val="24"/>
        </w:rPr>
        <w:t xml:space="preserve"> </w:t>
      </w:r>
    </w:p>
    <w:p w14:paraId="513AE73B" w14:textId="646E07A4" w:rsidR="009732B9" w:rsidRPr="00211D94" w:rsidRDefault="000E242F"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r w:rsidR="007A7CB3" w:rsidRPr="00211D94">
        <w:rPr>
          <w:rFonts w:cs="Arial"/>
          <w:szCs w:val="24"/>
        </w:rPr>
        <w:t>:</w:t>
      </w:r>
    </w:p>
    <w:p w14:paraId="5BC5A586" w14:textId="522BCAE6" w:rsidR="009732B9" w:rsidRPr="00211D94" w:rsidRDefault="009732B9" w:rsidP="00F55865">
      <w:pPr>
        <w:pStyle w:val="Akapitzlist"/>
        <w:numPr>
          <w:ilvl w:val="0"/>
          <w:numId w:val="38"/>
        </w:numPr>
        <w:spacing w:before="120" w:after="120" w:line="276" w:lineRule="auto"/>
        <w:ind w:left="284" w:hanging="284"/>
        <w:contextualSpacing w:val="0"/>
        <w:rPr>
          <w:rFonts w:cs="Arial"/>
          <w:szCs w:val="24"/>
        </w:rPr>
      </w:pPr>
      <w:r w:rsidRPr="00211D94">
        <w:rPr>
          <w:rFonts w:cs="Arial"/>
          <w:szCs w:val="24"/>
        </w:rPr>
        <w:t xml:space="preserve">Liczba przedsiębiorstw otrzymujących wsparcie – </w:t>
      </w:r>
      <w:r w:rsidR="009132D9" w:rsidRPr="00211D94">
        <w:rPr>
          <w:rFonts w:cs="Arial"/>
          <w:szCs w:val="24"/>
        </w:rPr>
        <w:t>93,5</w:t>
      </w:r>
      <w:r w:rsidRPr="00211D94">
        <w:rPr>
          <w:rFonts w:cs="Arial"/>
          <w:szCs w:val="24"/>
        </w:rPr>
        <w:t>% wartości docelowej na 2023r.</w:t>
      </w:r>
    </w:p>
    <w:p w14:paraId="486BFB2B" w14:textId="731AFFA3" w:rsidR="009732B9" w:rsidRPr="00211D94" w:rsidRDefault="009732B9" w:rsidP="00F55865">
      <w:pPr>
        <w:numPr>
          <w:ilvl w:val="0"/>
          <w:numId w:val="3"/>
        </w:numPr>
        <w:spacing w:before="120" w:after="120"/>
        <w:ind w:left="283" w:hanging="283"/>
        <w:rPr>
          <w:rFonts w:cs="Arial"/>
          <w:szCs w:val="24"/>
        </w:rPr>
      </w:pPr>
      <w:r w:rsidRPr="00211D94">
        <w:rPr>
          <w:rFonts w:cs="Arial"/>
          <w:szCs w:val="24"/>
        </w:rPr>
        <w:t xml:space="preserve">Wskaźnik finansowy – </w:t>
      </w:r>
      <w:r w:rsidR="009132D9" w:rsidRPr="00211D94">
        <w:rPr>
          <w:rFonts w:cs="Arial"/>
          <w:szCs w:val="24"/>
        </w:rPr>
        <w:t>118,5</w:t>
      </w:r>
      <w:r w:rsidRPr="00211D94">
        <w:rPr>
          <w:rFonts w:cs="Arial"/>
          <w:szCs w:val="24"/>
        </w:rPr>
        <w:t>% wartości docelowej na 2023r.</w:t>
      </w:r>
    </w:p>
    <w:p w14:paraId="6DCE00AE" w14:textId="29A465BF" w:rsidR="0079763C" w:rsidRPr="00211D94" w:rsidRDefault="0079763C" w:rsidP="00F55865">
      <w:pPr>
        <w:spacing w:before="120" w:after="120"/>
        <w:rPr>
          <w:rFonts w:cs="Arial"/>
          <w:szCs w:val="24"/>
        </w:rPr>
      </w:pPr>
      <w:bookmarkStart w:id="24" w:name="_Hlk211863983"/>
      <w:r w:rsidRPr="00211D94">
        <w:rPr>
          <w:rFonts w:cs="Arial"/>
          <w:szCs w:val="24"/>
        </w:rPr>
        <w:t>Postęp rzeczowy został przedstawiony w tabelach 3A, 3B, 5 oraz w pkt. 11.1. sprawozdania.</w:t>
      </w:r>
    </w:p>
    <w:p w14:paraId="2745DEF5" w14:textId="77777777" w:rsidR="009732B9" w:rsidRPr="00211D94" w:rsidRDefault="009732B9" w:rsidP="00F55865">
      <w:pPr>
        <w:pStyle w:val="Nagwek3"/>
        <w:spacing w:before="120" w:after="120"/>
        <w:rPr>
          <w:rFonts w:cs="Arial"/>
        </w:rPr>
      </w:pPr>
      <w:bookmarkStart w:id="25" w:name="_Toc511382672"/>
      <w:bookmarkStart w:id="26" w:name="_Toc100475826"/>
      <w:bookmarkStart w:id="27" w:name="_Toc214025252"/>
      <w:bookmarkEnd w:id="24"/>
      <w:r w:rsidRPr="00211D94">
        <w:rPr>
          <w:rFonts w:cs="Arial"/>
        </w:rPr>
        <w:t>3.1.2. Oś Priorytetowa 2. Przedsiębiorstwa.</w:t>
      </w:r>
      <w:bookmarkEnd w:id="25"/>
      <w:bookmarkEnd w:id="26"/>
      <w:bookmarkEnd w:id="27"/>
    </w:p>
    <w:p w14:paraId="2B33254D"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456E468A" w14:textId="64B32BA6"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w:t>
      </w:r>
      <w:r w:rsidR="000C0E2C" w:rsidRPr="00211D94">
        <w:rPr>
          <w:rFonts w:cs="Arial"/>
          <w:szCs w:val="24"/>
        </w:rPr>
        <w:t>511</w:t>
      </w:r>
      <w:r w:rsidRPr="00211D94">
        <w:rPr>
          <w:rFonts w:cs="Arial"/>
          <w:szCs w:val="24"/>
        </w:rPr>
        <w:t xml:space="preserve"> </w:t>
      </w:r>
      <w:proofErr w:type="spellStart"/>
      <w:r w:rsidRPr="00211D94">
        <w:rPr>
          <w:rFonts w:cs="Arial"/>
          <w:szCs w:val="24"/>
        </w:rPr>
        <w:t>UoD-dof.UE</w:t>
      </w:r>
      <w:proofErr w:type="spellEnd"/>
      <w:r w:rsidRPr="00211D94">
        <w:rPr>
          <w:rFonts w:cs="Arial"/>
          <w:szCs w:val="24"/>
        </w:rPr>
        <w:t xml:space="preserve"> 1</w:t>
      </w:r>
      <w:r w:rsidR="000C0E2C" w:rsidRPr="00211D94">
        <w:rPr>
          <w:rFonts w:cs="Arial"/>
          <w:szCs w:val="24"/>
        </w:rPr>
        <w:t>6</w:t>
      </w:r>
      <w:r w:rsidRPr="00211D94">
        <w:rPr>
          <w:rFonts w:cs="Arial"/>
          <w:szCs w:val="24"/>
        </w:rPr>
        <w:t>4,</w:t>
      </w:r>
      <w:r w:rsidR="000C0E2C" w:rsidRPr="00211D94">
        <w:rPr>
          <w:rFonts w:cs="Arial"/>
          <w:szCs w:val="24"/>
        </w:rPr>
        <w:t>8</w:t>
      </w:r>
      <w:r w:rsidRPr="00211D94">
        <w:rPr>
          <w:rFonts w:cs="Arial"/>
          <w:szCs w:val="24"/>
        </w:rPr>
        <w:t xml:space="preserve"> mln EUR–</w:t>
      </w:r>
      <w:r w:rsidR="000C0E2C" w:rsidRPr="00211D94">
        <w:rPr>
          <w:rFonts w:cs="Arial"/>
          <w:szCs w:val="24"/>
        </w:rPr>
        <w:t>103,4</w:t>
      </w:r>
      <w:r w:rsidRPr="00211D94">
        <w:rPr>
          <w:rFonts w:cs="Arial"/>
          <w:szCs w:val="24"/>
        </w:rPr>
        <w:t xml:space="preserve">% alokacji, ogółem </w:t>
      </w:r>
      <w:r w:rsidR="000C0E2C" w:rsidRPr="00211D94">
        <w:rPr>
          <w:rFonts w:cs="Arial"/>
          <w:szCs w:val="24"/>
        </w:rPr>
        <w:t>264,0</w:t>
      </w:r>
      <w:r w:rsidRPr="00211D94">
        <w:rPr>
          <w:rFonts w:cs="Arial"/>
          <w:szCs w:val="24"/>
        </w:rPr>
        <w:t xml:space="preserve"> mln EUR</w:t>
      </w:r>
    </w:p>
    <w:p w14:paraId="32950230" w14:textId="75347DF2"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0C0E2C" w:rsidRPr="00211D94">
        <w:rPr>
          <w:rFonts w:cs="Arial"/>
          <w:szCs w:val="24"/>
        </w:rPr>
        <w:t>162,4</w:t>
      </w:r>
      <w:r w:rsidRPr="00211D94">
        <w:rPr>
          <w:rFonts w:cs="Arial"/>
          <w:szCs w:val="24"/>
        </w:rPr>
        <w:t xml:space="preserve"> mln EUR–</w:t>
      </w:r>
      <w:r w:rsidR="000C0E2C" w:rsidRPr="00211D94">
        <w:rPr>
          <w:rFonts w:cs="Arial"/>
          <w:szCs w:val="24"/>
        </w:rPr>
        <w:t>101,9</w:t>
      </w:r>
      <w:r w:rsidRPr="00211D94">
        <w:rPr>
          <w:rFonts w:cs="Arial"/>
          <w:szCs w:val="24"/>
        </w:rPr>
        <w:t xml:space="preserve">% alokacji, ogółem </w:t>
      </w:r>
      <w:r w:rsidR="000C0E2C" w:rsidRPr="00211D94">
        <w:rPr>
          <w:rFonts w:cs="Arial"/>
          <w:szCs w:val="24"/>
        </w:rPr>
        <w:t>263,8</w:t>
      </w:r>
      <w:r w:rsidRPr="00211D94">
        <w:rPr>
          <w:rFonts w:cs="Arial"/>
          <w:szCs w:val="24"/>
        </w:rPr>
        <w:t xml:space="preserve"> mln EUR</w:t>
      </w:r>
    </w:p>
    <w:p w14:paraId="1981AE0D" w14:textId="56FDDB35"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0C0E2C" w:rsidRPr="00211D94">
        <w:rPr>
          <w:rFonts w:cs="Arial"/>
          <w:szCs w:val="24"/>
        </w:rPr>
        <w:t>159,3</w:t>
      </w:r>
      <w:r w:rsidR="009732B9" w:rsidRPr="00211D94">
        <w:rPr>
          <w:rFonts w:cs="Arial"/>
          <w:szCs w:val="24"/>
        </w:rPr>
        <w:t xml:space="preserve"> mln EUR–</w:t>
      </w:r>
      <w:r w:rsidR="000C0E2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0C0E2C" w:rsidRPr="00211D94">
        <w:rPr>
          <w:rFonts w:cs="Arial"/>
          <w:szCs w:val="24"/>
        </w:rPr>
        <w:t>2</w:t>
      </w:r>
      <w:r w:rsidR="006C7A2D" w:rsidRPr="00211D94">
        <w:rPr>
          <w:rFonts w:cs="Arial"/>
          <w:szCs w:val="24"/>
        </w:rPr>
        <w:t>21</w:t>
      </w:r>
      <w:r w:rsidR="000C0E2C" w:rsidRPr="00211D94">
        <w:rPr>
          <w:rFonts w:cs="Arial"/>
          <w:szCs w:val="24"/>
        </w:rPr>
        <w:t>,2</w:t>
      </w:r>
      <w:r w:rsidR="009732B9" w:rsidRPr="00211D94">
        <w:rPr>
          <w:rFonts w:cs="Arial"/>
          <w:szCs w:val="24"/>
        </w:rPr>
        <w:t xml:space="preserve"> mln EUR</w:t>
      </w:r>
    </w:p>
    <w:p w14:paraId="1EFEEE8F" w14:textId="77777777" w:rsidR="009732B9" w:rsidRPr="00211D94" w:rsidRDefault="009732B9" w:rsidP="00F55865">
      <w:pPr>
        <w:spacing w:before="120" w:after="120"/>
        <w:rPr>
          <w:rFonts w:cs="Arial"/>
          <w:szCs w:val="24"/>
        </w:rPr>
      </w:pPr>
      <w:r w:rsidRPr="00211D94">
        <w:rPr>
          <w:rFonts w:cs="Arial"/>
          <w:szCs w:val="24"/>
        </w:rPr>
        <w:t>Charakterystyka projektów</w:t>
      </w:r>
    </w:p>
    <w:p w14:paraId="3512A284"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 xml:space="preserve">Przedsiębiorcy (97,3%), inne (1,7%), JST (0,4%), NGO (0,4%), </w:t>
      </w:r>
      <w:bookmarkStart w:id="28" w:name="_Hlk211712788"/>
      <w:r w:rsidRPr="00211D94">
        <w:rPr>
          <w:rFonts w:cs="Arial"/>
          <w:szCs w:val="24"/>
        </w:rPr>
        <w:t xml:space="preserve">jednostki administracji rządowej </w:t>
      </w:r>
      <w:bookmarkEnd w:id="28"/>
      <w:r w:rsidRPr="00211D94">
        <w:rPr>
          <w:rFonts w:cs="Arial"/>
          <w:szCs w:val="24"/>
        </w:rPr>
        <w:t xml:space="preserve">(0,2%) </w:t>
      </w:r>
    </w:p>
    <w:p w14:paraId="26F16F22" w14:textId="77777777" w:rsidR="009732B9" w:rsidRPr="00211D94" w:rsidRDefault="009732B9" w:rsidP="00F55865">
      <w:pPr>
        <w:numPr>
          <w:ilvl w:val="0"/>
          <w:numId w:val="6"/>
        </w:numPr>
        <w:spacing w:before="120" w:after="120"/>
        <w:rPr>
          <w:rFonts w:cs="Arial"/>
          <w:szCs w:val="24"/>
        </w:rPr>
      </w:pPr>
      <w:r w:rsidRPr="00211D94">
        <w:rPr>
          <w:rFonts w:cs="Arial"/>
          <w:szCs w:val="24"/>
        </w:rPr>
        <w:t>Główne rodzaje dział. gosp.: turystyka oraz działalność związana z zakwaterowaniem i usługami gastronomicznymi</w:t>
      </w:r>
    </w:p>
    <w:p w14:paraId="17412247"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Główne PKD Beneficjentów: 56.10.A, 55.20.Z </w:t>
      </w:r>
    </w:p>
    <w:p w14:paraId="38CCB6BD" w14:textId="3E273A6D" w:rsidR="009732B9" w:rsidRPr="00211D94" w:rsidRDefault="009732B9" w:rsidP="00F55865">
      <w:pPr>
        <w:numPr>
          <w:ilvl w:val="0"/>
          <w:numId w:val="6"/>
        </w:numPr>
        <w:spacing w:before="120" w:after="120"/>
        <w:rPr>
          <w:rFonts w:cs="Arial"/>
          <w:szCs w:val="24"/>
        </w:rPr>
      </w:pPr>
      <w:r w:rsidRPr="00211D94">
        <w:rPr>
          <w:rFonts w:cs="Arial"/>
          <w:szCs w:val="24"/>
        </w:rPr>
        <w:t>6</w:t>
      </w:r>
      <w:r w:rsidR="00A6588A" w:rsidRPr="00211D94">
        <w:rPr>
          <w:rFonts w:cs="Arial"/>
          <w:szCs w:val="24"/>
        </w:rPr>
        <w:t>5,8</w:t>
      </w:r>
      <w:r w:rsidRPr="00211D94">
        <w:rPr>
          <w:rFonts w:cs="Arial"/>
          <w:szCs w:val="24"/>
        </w:rPr>
        <w:t>% projektów na obszarach miejskich</w:t>
      </w:r>
    </w:p>
    <w:p w14:paraId="208B4C4D" w14:textId="5244B7E0" w:rsidR="009732B9" w:rsidRPr="00211D94" w:rsidRDefault="009732B9" w:rsidP="00F55865">
      <w:pPr>
        <w:numPr>
          <w:ilvl w:val="0"/>
          <w:numId w:val="6"/>
        </w:numPr>
        <w:spacing w:before="120" w:after="120"/>
        <w:rPr>
          <w:rFonts w:cs="Arial"/>
          <w:szCs w:val="24"/>
        </w:rPr>
      </w:pPr>
      <w:r w:rsidRPr="00211D94">
        <w:rPr>
          <w:rFonts w:cs="Arial"/>
          <w:szCs w:val="24"/>
        </w:rPr>
        <w:t>33,</w:t>
      </w:r>
      <w:r w:rsidR="00A6588A" w:rsidRPr="00211D94">
        <w:rPr>
          <w:rFonts w:cs="Arial"/>
          <w:szCs w:val="24"/>
        </w:rPr>
        <w:t>3</w:t>
      </w:r>
      <w:r w:rsidRPr="00211D94">
        <w:rPr>
          <w:rFonts w:cs="Arial"/>
          <w:szCs w:val="24"/>
        </w:rPr>
        <w:t>% projektów na obszarach wiejskich</w:t>
      </w:r>
    </w:p>
    <w:p w14:paraId="1AFADF12"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ZIT-1 </w:t>
      </w:r>
      <w:proofErr w:type="spellStart"/>
      <w:r w:rsidRPr="00211D94">
        <w:rPr>
          <w:rFonts w:cs="Arial"/>
          <w:szCs w:val="24"/>
        </w:rPr>
        <w:t>UoD</w:t>
      </w:r>
      <w:proofErr w:type="spellEnd"/>
    </w:p>
    <w:p w14:paraId="254C78C0" w14:textId="64D2AACE" w:rsidR="009732B9" w:rsidRPr="00211D94" w:rsidRDefault="009732B9" w:rsidP="00F55865">
      <w:pPr>
        <w:spacing w:before="120" w:after="120"/>
        <w:rPr>
          <w:rFonts w:cs="Arial"/>
          <w:szCs w:val="24"/>
        </w:rPr>
      </w:pPr>
      <w:r w:rsidRPr="00211D94">
        <w:rPr>
          <w:rFonts w:cs="Arial"/>
          <w:szCs w:val="24"/>
        </w:rPr>
        <w:t>Ramy wykonania</w:t>
      </w:r>
    </w:p>
    <w:p w14:paraId="00EF8CBD" w14:textId="581268C5"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01C134F8" w14:textId="65DF297F"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Liczba przedsiębiorstw otrzymujących wsparcie – </w:t>
      </w:r>
      <w:r w:rsidR="009132D9" w:rsidRPr="00211D94">
        <w:rPr>
          <w:rFonts w:cs="Arial"/>
          <w:szCs w:val="24"/>
        </w:rPr>
        <w:t>109,5</w:t>
      </w:r>
      <w:r w:rsidRPr="00211D94">
        <w:rPr>
          <w:rFonts w:cs="Arial"/>
          <w:szCs w:val="24"/>
        </w:rPr>
        <w:t>% wartości docelowej na 2023r.</w:t>
      </w:r>
    </w:p>
    <w:p w14:paraId="359C3343" w14:textId="49C1BF83"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Wskaźnik finansowy – </w:t>
      </w:r>
      <w:r w:rsidR="009132D9" w:rsidRPr="00211D94">
        <w:rPr>
          <w:rFonts w:cs="Arial"/>
          <w:szCs w:val="24"/>
        </w:rPr>
        <w:t>119,0</w:t>
      </w:r>
      <w:r w:rsidRPr="00211D94">
        <w:rPr>
          <w:rFonts w:cs="Arial"/>
          <w:szCs w:val="24"/>
        </w:rPr>
        <w:t>% wartości docelowej na 2023r.</w:t>
      </w:r>
    </w:p>
    <w:p w14:paraId="28DCD165" w14:textId="568D2593" w:rsidR="0079763C" w:rsidRPr="00211D94" w:rsidRDefault="0079763C" w:rsidP="00F55865">
      <w:pPr>
        <w:spacing w:before="120" w:after="120"/>
        <w:rPr>
          <w:rFonts w:cs="Arial"/>
          <w:szCs w:val="24"/>
        </w:rPr>
      </w:pPr>
      <w:r w:rsidRPr="00211D94">
        <w:rPr>
          <w:rFonts w:cs="Arial"/>
          <w:szCs w:val="24"/>
        </w:rPr>
        <w:t>Postęp rzeczowy został przedstawiony w tabelach 3A, 3B, 5 oraz w pkt. 11.1. sprawozdania.</w:t>
      </w:r>
    </w:p>
    <w:p w14:paraId="708234C4" w14:textId="7DEA6CD2" w:rsidR="009732B9" w:rsidRPr="00211D94" w:rsidRDefault="009732B9" w:rsidP="00F55865">
      <w:pPr>
        <w:pStyle w:val="Nagwek3"/>
        <w:spacing w:before="120" w:after="120"/>
        <w:rPr>
          <w:rFonts w:cs="Arial"/>
        </w:rPr>
      </w:pPr>
      <w:bookmarkStart w:id="29" w:name="_Toc214025253"/>
      <w:r w:rsidRPr="00211D94">
        <w:rPr>
          <w:rFonts w:cs="Arial"/>
        </w:rPr>
        <w:t>3.1.3. Oś Priorytetowa 3. Edukacja</w:t>
      </w:r>
      <w:bookmarkEnd w:id="29"/>
    </w:p>
    <w:p w14:paraId="35A21ED2" w14:textId="77777777" w:rsidR="00C43D33" w:rsidRPr="00211D94" w:rsidRDefault="00E0050F" w:rsidP="00F55865">
      <w:pPr>
        <w:spacing w:before="120" w:after="120"/>
        <w:rPr>
          <w:rFonts w:cs="Arial"/>
          <w:szCs w:val="24"/>
        </w:rPr>
      </w:pPr>
      <w:r w:rsidRPr="00211D94">
        <w:rPr>
          <w:rFonts w:cs="Arial"/>
          <w:szCs w:val="24"/>
        </w:rPr>
        <w:t xml:space="preserve">Łącznie </w:t>
      </w:r>
      <w:bookmarkStart w:id="30" w:name="_Hlk208998579"/>
      <w:bookmarkEnd w:id="23"/>
      <w:r w:rsidR="00C43D33" w:rsidRPr="00211D94">
        <w:rPr>
          <w:rFonts w:cs="Arial"/>
          <w:szCs w:val="24"/>
        </w:rPr>
        <w:t>w okresie realizacji Programu:</w:t>
      </w:r>
    </w:p>
    <w:p w14:paraId="3B73EAEC" w14:textId="567AD5EC" w:rsidR="00C43D33" w:rsidRPr="00211D94" w:rsidRDefault="00C43D33" w:rsidP="00F55865">
      <w:pPr>
        <w:numPr>
          <w:ilvl w:val="0"/>
          <w:numId w:val="1"/>
        </w:numPr>
        <w:spacing w:before="120" w:after="120"/>
        <w:rPr>
          <w:rFonts w:cs="Arial"/>
          <w:szCs w:val="24"/>
        </w:rPr>
      </w:pPr>
      <w:r w:rsidRPr="00211D94">
        <w:rPr>
          <w:rFonts w:cs="Arial"/>
          <w:szCs w:val="24"/>
        </w:rPr>
        <w:t xml:space="preserve">podpisano 377 </w:t>
      </w:r>
      <w:proofErr w:type="spellStart"/>
      <w:r w:rsidRPr="00211D94">
        <w:rPr>
          <w:rFonts w:cs="Arial"/>
          <w:szCs w:val="24"/>
        </w:rPr>
        <w:t>UoD-dof.UE</w:t>
      </w:r>
      <w:proofErr w:type="spellEnd"/>
      <w:r w:rsidRPr="00211D94">
        <w:rPr>
          <w:rFonts w:cs="Arial"/>
          <w:szCs w:val="24"/>
        </w:rPr>
        <w:t xml:space="preserve"> 144,8</w:t>
      </w:r>
      <w:r w:rsidR="00C840F9" w:rsidRPr="00211D94">
        <w:rPr>
          <w:rFonts w:cs="Arial"/>
          <w:szCs w:val="24"/>
        </w:rPr>
        <w:t xml:space="preserve"> </w:t>
      </w:r>
      <w:r w:rsidRPr="00211D94">
        <w:rPr>
          <w:rFonts w:cs="Arial"/>
          <w:szCs w:val="24"/>
        </w:rPr>
        <w:t>mln EUR–</w:t>
      </w:r>
      <w:r w:rsidR="00C840F9" w:rsidRPr="00211D94">
        <w:rPr>
          <w:rFonts w:cs="Arial"/>
          <w:szCs w:val="24"/>
        </w:rPr>
        <w:t>105,6</w:t>
      </w:r>
      <w:r w:rsidRPr="00211D94">
        <w:rPr>
          <w:rFonts w:cs="Arial"/>
          <w:szCs w:val="24"/>
        </w:rPr>
        <w:t>% alokacji, ogółem 170,3 mln EUR</w:t>
      </w:r>
    </w:p>
    <w:p w14:paraId="69082CAF" w14:textId="36F5F7CA" w:rsidR="00C43D33" w:rsidRPr="00211D94" w:rsidRDefault="00C43D33"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138,5 mln EUR–</w:t>
      </w:r>
      <w:r w:rsidR="00C840F9" w:rsidRPr="00211D94">
        <w:rPr>
          <w:rFonts w:cs="Arial"/>
          <w:szCs w:val="24"/>
        </w:rPr>
        <w:t>101,1</w:t>
      </w:r>
      <w:r w:rsidRPr="00211D94">
        <w:rPr>
          <w:rFonts w:cs="Arial"/>
          <w:szCs w:val="24"/>
        </w:rPr>
        <w:t>% alokacji, ogółem 16</w:t>
      </w:r>
      <w:r w:rsidR="00C840F9" w:rsidRPr="00211D94">
        <w:rPr>
          <w:rFonts w:cs="Arial"/>
          <w:szCs w:val="24"/>
        </w:rPr>
        <w:t>3</w:t>
      </w:r>
      <w:r w:rsidRPr="00211D94">
        <w:rPr>
          <w:rFonts w:cs="Arial"/>
          <w:szCs w:val="24"/>
        </w:rPr>
        <w:t>,</w:t>
      </w:r>
      <w:r w:rsidR="00C840F9" w:rsidRPr="00211D94">
        <w:rPr>
          <w:rFonts w:cs="Arial"/>
          <w:szCs w:val="24"/>
        </w:rPr>
        <w:t>0</w:t>
      </w:r>
      <w:r w:rsidRPr="00211D94">
        <w:rPr>
          <w:rFonts w:cs="Arial"/>
          <w:szCs w:val="24"/>
        </w:rPr>
        <w:t xml:space="preserve"> mln EUR</w:t>
      </w:r>
    </w:p>
    <w:p w14:paraId="79A72451" w14:textId="692505AD" w:rsidR="00C43D33" w:rsidRPr="00211D94" w:rsidRDefault="00076126" w:rsidP="00F55865">
      <w:pPr>
        <w:numPr>
          <w:ilvl w:val="0"/>
          <w:numId w:val="1"/>
        </w:numPr>
        <w:spacing w:before="120" w:after="120"/>
        <w:rPr>
          <w:rFonts w:cs="Arial"/>
          <w:szCs w:val="24"/>
        </w:rPr>
      </w:pPr>
      <w:r w:rsidRPr="00211D94">
        <w:rPr>
          <w:rFonts w:cs="Arial"/>
          <w:szCs w:val="24"/>
        </w:rPr>
        <w:t>certyfikowano</w:t>
      </w:r>
      <w:r w:rsidR="0003429A" w:rsidRPr="00211D94">
        <w:rPr>
          <w:rFonts w:cs="Arial"/>
          <w:szCs w:val="24"/>
        </w:rPr>
        <w:t xml:space="preserve"> kwotę </w:t>
      </w:r>
      <w:proofErr w:type="spellStart"/>
      <w:r w:rsidR="00C43D33" w:rsidRPr="00211D94">
        <w:rPr>
          <w:rFonts w:cs="Arial"/>
          <w:szCs w:val="24"/>
        </w:rPr>
        <w:t>dof.UE</w:t>
      </w:r>
      <w:proofErr w:type="spellEnd"/>
      <w:r w:rsidR="00C43D33" w:rsidRPr="00211D94">
        <w:rPr>
          <w:rFonts w:cs="Arial"/>
          <w:szCs w:val="24"/>
        </w:rPr>
        <w:t xml:space="preserve"> 1</w:t>
      </w:r>
      <w:r w:rsidR="00C840F9" w:rsidRPr="00211D94">
        <w:rPr>
          <w:rFonts w:cs="Arial"/>
          <w:szCs w:val="24"/>
        </w:rPr>
        <w:t>37,1</w:t>
      </w:r>
      <w:r w:rsidR="00C43D33" w:rsidRPr="00211D94">
        <w:rPr>
          <w:rFonts w:cs="Arial"/>
          <w:szCs w:val="24"/>
        </w:rPr>
        <w:t xml:space="preserve"> mln EUR–10</w:t>
      </w:r>
      <w:r w:rsidR="00C840F9" w:rsidRPr="00211D94">
        <w:rPr>
          <w:rFonts w:cs="Arial"/>
          <w:szCs w:val="24"/>
        </w:rPr>
        <w:t>0,0</w:t>
      </w:r>
      <w:r w:rsidR="00C43D33" w:rsidRPr="00211D94">
        <w:rPr>
          <w:rFonts w:cs="Arial"/>
          <w:szCs w:val="24"/>
        </w:rPr>
        <w:t xml:space="preserve">% alokacji, </w:t>
      </w:r>
      <w:r w:rsidR="006C7A2D" w:rsidRPr="00211D94">
        <w:rPr>
          <w:rFonts w:cs="Arial"/>
          <w:szCs w:val="24"/>
        </w:rPr>
        <w:t>łączna wartość wydatków kwalifikowalnych wyniosła</w:t>
      </w:r>
      <w:r w:rsidR="00C43D33" w:rsidRPr="00211D94">
        <w:rPr>
          <w:rFonts w:cs="Arial"/>
          <w:szCs w:val="24"/>
        </w:rPr>
        <w:t xml:space="preserve"> </w:t>
      </w:r>
      <w:r w:rsidR="006C7A2D" w:rsidRPr="00211D94">
        <w:rPr>
          <w:rFonts w:cs="Arial"/>
          <w:szCs w:val="24"/>
        </w:rPr>
        <w:t>159,0</w:t>
      </w:r>
      <w:r w:rsidR="00C43D33" w:rsidRPr="00211D94">
        <w:rPr>
          <w:rFonts w:cs="Arial"/>
          <w:szCs w:val="24"/>
        </w:rPr>
        <w:t xml:space="preserve"> mln EUR</w:t>
      </w:r>
    </w:p>
    <w:p w14:paraId="1C29231A" w14:textId="77777777" w:rsidR="00C43D33" w:rsidRPr="00211D94" w:rsidRDefault="00C43D33" w:rsidP="00F55865">
      <w:pPr>
        <w:spacing w:before="120" w:after="120"/>
        <w:rPr>
          <w:rFonts w:cs="Arial"/>
          <w:szCs w:val="24"/>
        </w:rPr>
      </w:pPr>
      <w:r w:rsidRPr="00211D94">
        <w:rPr>
          <w:rFonts w:cs="Arial"/>
          <w:szCs w:val="24"/>
        </w:rPr>
        <w:t>Charakterystyka projektów:</w:t>
      </w:r>
    </w:p>
    <w:p w14:paraId="713450AB" w14:textId="77525BE1" w:rsidR="00C43D33" w:rsidRPr="00211D94" w:rsidRDefault="00C43D33" w:rsidP="00F55865">
      <w:pPr>
        <w:numPr>
          <w:ilvl w:val="0"/>
          <w:numId w:val="6"/>
        </w:numPr>
        <w:spacing w:before="120" w:after="120"/>
        <w:rPr>
          <w:rFonts w:cs="Arial"/>
          <w:szCs w:val="24"/>
        </w:rPr>
      </w:pPr>
      <w:r w:rsidRPr="00211D94">
        <w:rPr>
          <w:rFonts w:cs="Arial"/>
          <w:szCs w:val="24"/>
        </w:rPr>
        <w:t>JST (</w:t>
      </w:r>
      <w:r w:rsidR="00167F04" w:rsidRPr="00211D94">
        <w:rPr>
          <w:rFonts w:cs="Arial"/>
          <w:szCs w:val="24"/>
        </w:rPr>
        <w:t>71</w:t>
      </w:r>
      <w:r w:rsidRPr="00211D94">
        <w:rPr>
          <w:rFonts w:cs="Arial"/>
          <w:szCs w:val="24"/>
        </w:rPr>
        <w:t>,4%), przedsiębiorcy (1</w:t>
      </w:r>
      <w:r w:rsidR="00167F04" w:rsidRPr="00211D94">
        <w:rPr>
          <w:rFonts w:cs="Arial"/>
          <w:szCs w:val="24"/>
        </w:rPr>
        <w:t>4,9</w:t>
      </w:r>
      <w:r w:rsidRPr="00211D94">
        <w:rPr>
          <w:rFonts w:cs="Arial"/>
          <w:szCs w:val="24"/>
        </w:rPr>
        <w:t>%), NGO (7,</w:t>
      </w:r>
      <w:r w:rsidR="00167F04" w:rsidRPr="00211D94">
        <w:rPr>
          <w:rFonts w:cs="Arial"/>
          <w:szCs w:val="24"/>
        </w:rPr>
        <w:t>2</w:t>
      </w:r>
      <w:r w:rsidRPr="00211D94">
        <w:rPr>
          <w:rFonts w:cs="Arial"/>
          <w:szCs w:val="24"/>
        </w:rPr>
        <w:t>%), szkoły/uczelnie/jednostki naukowe (</w:t>
      </w:r>
      <w:r w:rsidR="00167F04" w:rsidRPr="00211D94">
        <w:rPr>
          <w:rFonts w:cs="Arial"/>
          <w:szCs w:val="24"/>
        </w:rPr>
        <w:t>6,4</w:t>
      </w:r>
      <w:r w:rsidRPr="00211D94">
        <w:rPr>
          <w:rFonts w:cs="Arial"/>
          <w:szCs w:val="24"/>
        </w:rPr>
        <w:t xml:space="preserve">%), </w:t>
      </w:r>
      <w:r w:rsidR="00167F04" w:rsidRPr="00211D94">
        <w:rPr>
          <w:rFonts w:cs="Arial"/>
          <w:szCs w:val="24"/>
        </w:rPr>
        <w:t>jednostki administracji rządowej (0,3%)</w:t>
      </w:r>
    </w:p>
    <w:p w14:paraId="7F07A11C" w14:textId="77777777" w:rsidR="00C43D33" w:rsidRPr="00211D94" w:rsidRDefault="00C43D33" w:rsidP="00F55865">
      <w:pPr>
        <w:numPr>
          <w:ilvl w:val="0"/>
          <w:numId w:val="6"/>
        </w:numPr>
        <w:spacing w:before="120" w:after="120"/>
        <w:rPr>
          <w:rFonts w:cs="Arial"/>
          <w:szCs w:val="24"/>
        </w:rPr>
      </w:pPr>
      <w:r w:rsidRPr="00211D94">
        <w:rPr>
          <w:rFonts w:cs="Arial"/>
          <w:szCs w:val="24"/>
        </w:rPr>
        <w:t>Główne rodzaje dział. gosp.: edukacja, administracja publiczna, opieka zdrowotna</w:t>
      </w:r>
    </w:p>
    <w:p w14:paraId="62BCAC13" w14:textId="77777777" w:rsidR="00C43D33" w:rsidRPr="00211D94" w:rsidRDefault="00C43D33" w:rsidP="00F55865">
      <w:pPr>
        <w:numPr>
          <w:ilvl w:val="0"/>
          <w:numId w:val="6"/>
        </w:numPr>
        <w:spacing w:before="120" w:after="120"/>
        <w:rPr>
          <w:rFonts w:cs="Arial"/>
          <w:szCs w:val="24"/>
        </w:rPr>
      </w:pPr>
      <w:r w:rsidRPr="00211D94">
        <w:rPr>
          <w:rFonts w:cs="Arial"/>
          <w:szCs w:val="24"/>
        </w:rPr>
        <w:t>Główne PKD Beneficjentów: 84.11.Z, 85.10.Z</w:t>
      </w:r>
    </w:p>
    <w:p w14:paraId="7B224D4F" w14:textId="0880FF80" w:rsidR="00C43D33" w:rsidRPr="00211D94" w:rsidRDefault="00C43D33" w:rsidP="00F55865">
      <w:pPr>
        <w:numPr>
          <w:ilvl w:val="0"/>
          <w:numId w:val="6"/>
        </w:numPr>
        <w:spacing w:before="120" w:after="120"/>
        <w:rPr>
          <w:rFonts w:cs="Arial"/>
          <w:szCs w:val="24"/>
        </w:rPr>
      </w:pPr>
      <w:r w:rsidRPr="00211D94">
        <w:rPr>
          <w:rFonts w:cs="Arial"/>
          <w:szCs w:val="24"/>
        </w:rPr>
        <w:t>70,8% projektów na obszarach miejskich</w:t>
      </w:r>
    </w:p>
    <w:p w14:paraId="518C1341" w14:textId="706FB509" w:rsidR="00167F04" w:rsidRPr="00211D94" w:rsidRDefault="00167F04" w:rsidP="00F55865">
      <w:pPr>
        <w:numPr>
          <w:ilvl w:val="0"/>
          <w:numId w:val="6"/>
        </w:numPr>
        <w:spacing w:before="120" w:after="120"/>
        <w:rPr>
          <w:rFonts w:cs="Arial"/>
          <w:szCs w:val="24"/>
        </w:rPr>
      </w:pPr>
      <w:r w:rsidRPr="00211D94">
        <w:rPr>
          <w:rFonts w:cs="Arial"/>
          <w:szCs w:val="24"/>
        </w:rPr>
        <w:t>29,2% projektów na obszarach wiejskich</w:t>
      </w:r>
    </w:p>
    <w:p w14:paraId="6DFCCBEE" w14:textId="57D69443" w:rsidR="00C43D33" w:rsidRPr="00211D94" w:rsidRDefault="00C43D33" w:rsidP="00F55865">
      <w:pPr>
        <w:numPr>
          <w:ilvl w:val="0"/>
          <w:numId w:val="6"/>
        </w:numPr>
        <w:spacing w:before="120" w:after="120"/>
        <w:rPr>
          <w:rFonts w:cs="Arial"/>
          <w:szCs w:val="24"/>
        </w:rPr>
      </w:pPr>
      <w:r w:rsidRPr="00211D94">
        <w:rPr>
          <w:rFonts w:cs="Arial"/>
          <w:szCs w:val="24"/>
        </w:rPr>
        <w:t xml:space="preserve">W Poddz.3.3.1. (PI 10iv) realizowane były 23 projekty zintegrowane z projektami </w:t>
      </w:r>
      <w:r w:rsidRPr="00211D94">
        <w:rPr>
          <w:rFonts w:cs="Arial"/>
          <w:szCs w:val="24"/>
        </w:rPr>
        <w:br/>
        <w:t xml:space="preserve">w Dz.4.1 (PI 10a) </w:t>
      </w:r>
    </w:p>
    <w:p w14:paraId="16284999" w14:textId="6176F602" w:rsidR="00C43D33" w:rsidRPr="00211D94" w:rsidRDefault="00C43D33" w:rsidP="00F55865">
      <w:pPr>
        <w:spacing w:before="120" w:after="120"/>
        <w:rPr>
          <w:rFonts w:cs="Arial"/>
          <w:szCs w:val="24"/>
        </w:rPr>
      </w:pPr>
      <w:r w:rsidRPr="00211D94">
        <w:rPr>
          <w:rFonts w:cs="Arial"/>
          <w:szCs w:val="24"/>
        </w:rPr>
        <w:t>Ramy wykonania</w:t>
      </w:r>
    </w:p>
    <w:p w14:paraId="2BC89593" w14:textId="554A32A5"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229C27DC" w14:textId="63CF5346" w:rsidR="00C43D33" w:rsidRPr="00211D94" w:rsidRDefault="00C43D33" w:rsidP="00F55865">
      <w:pPr>
        <w:numPr>
          <w:ilvl w:val="0"/>
          <w:numId w:val="3"/>
        </w:numPr>
        <w:spacing w:before="120" w:after="120"/>
        <w:rPr>
          <w:rFonts w:cs="Arial"/>
          <w:szCs w:val="24"/>
        </w:rPr>
      </w:pPr>
      <w:r w:rsidRPr="00211D94">
        <w:rPr>
          <w:rFonts w:cs="Arial"/>
          <w:szCs w:val="24"/>
        </w:rPr>
        <w:t xml:space="preserve">L. uczniów objętych wsparciem w zakresie rozwijania kompetencji kluczowych </w:t>
      </w:r>
      <w:r w:rsidRPr="00211D94">
        <w:rPr>
          <w:rFonts w:cs="Arial"/>
          <w:szCs w:val="24"/>
        </w:rPr>
        <w:br/>
        <w:t>lub umiejętności uniwersalnych w Programie–147,</w:t>
      </w:r>
      <w:r w:rsidR="00167F04" w:rsidRPr="00211D94">
        <w:rPr>
          <w:rFonts w:cs="Arial"/>
          <w:szCs w:val="24"/>
        </w:rPr>
        <w:t>9</w:t>
      </w:r>
      <w:r w:rsidRPr="00211D94">
        <w:rPr>
          <w:rFonts w:cs="Arial"/>
          <w:szCs w:val="24"/>
        </w:rPr>
        <w:t>% wartości docelowej na 2023 r.</w:t>
      </w:r>
    </w:p>
    <w:p w14:paraId="5BB1DC04" w14:textId="5502934C" w:rsidR="00C43D33" w:rsidRPr="00211D94" w:rsidRDefault="00C43D33" w:rsidP="00F55865">
      <w:pPr>
        <w:numPr>
          <w:ilvl w:val="0"/>
          <w:numId w:val="3"/>
        </w:numPr>
        <w:spacing w:before="120" w:after="120"/>
        <w:rPr>
          <w:rFonts w:cs="Arial"/>
          <w:szCs w:val="24"/>
        </w:rPr>
      </w:pPr>
      <w:r w:rsidRPr="00211D94">
        <w:rPr>
          <w:rFonts w:cs="Arial"/>
          <w:szCs w:val="24"/>
        </w:rPr>
        <w:t>L. miejsc wychowania przedszkolnego dofinansowanych w Programie– 13</w:t>
      </w:r>
      <w:r w:rsidR="00167F04" w:rsidRPr="00211D94">
        <w:rPr>
          <w:rFonts w:cs="Arial"/>
          <w:szCs w:val="24"/>
        </w:rPr>
        <w:t>4,0</w:t>
      </w:r>
      <w:r w:rsidRPr="00211D94">
        <w:rPr>
          <w:rFonts w:cs="Arial"/>
          <w:szCs w:val="24"/>
        </w:rPr>
        <w:t>% wartości docelowej na 2023 r.</w:t>
      </w:r>
    </w:p>
    <w:p w14:paraId="51526F07" w14:textId="5ED9AC2A" w:rsidR="00C43D33" w:rsidRPr="00211D94" w:rsidRDefault="00C43D33" w:rsidP="00F55865">
      <w:pPr>
        <w:numPr>
          <w:ilvl w:val="0"/>
          <w:numId w:val="3"/>
        </w:numPr>
        <w:spacing w:before="120" w:after="120"/>
        <w:rPr>
          <w:rFonts w:cs="Arial"/>
          <w:szCs w:val="24"/>
        </w:rPr>
      </w:pPr>
      <w:r w:rsidRPr="00211D94">
        <w:rPr>
          <w:rFonts w:cs="Arial"/>
          <w:szCs w:val="24"/>
        </w:rPr>
        <w:t xml:space="preserve">L. nauczycieli objętych wsparciem w Programie–128,2% wartości docelowej </w:t>
      </w:r>
      <w:r w:rsidRPr="00211D94">
        <w:rPr>
          <w:rFonts w:cs="Arial"/>
          <w:szCs w:val="24"/>
        </w:rPr>
        <w:br/>
        <w:t>na 2023 r.</w:t>
      </w:r>
    </w:p>
    <w:p w14:paraId="627A36C2" w14:textId="5FAEB421" w:rsidR="00C43D33" w:rsidRPr="00211D94" w:rsidRDefault="00C43D33" w:rsidP="00F55865">
      <w:pPr>
        <w:numPr>
          <w:ilvl w:val="0"/>
          <w:numId w:val="3"/>
        </w:numPr>
        <w:spacing w:before="120" w:after="120"/>
        <w:rPr>
          <w:rFonts w:cs="Arial"/>
          <w:szCs w:val="24"/>
        </w:rPr>
      </w:pPr>
      <w:r w:rsidRPr="00211D94">
        <w:rPr>
          <w:rFonts w:cs="Arial"/>
          <w:szCs w:val="24"/>
        </w:rPr>
        <w:t>Wskaźnik finansowy–101,3% wartości docelowej na 2023 r.</w:t>
      </w:r>
    </w:p>
    <w:p w14:paraId="0AA67AA6" w14:textId="5BC47C97" w:rsidR="00C43D33" w:rsidRPr="00211D94" w:rsidRDefault="00C43D33" w:rsidP="00F55865">
      <w:pPr>
        <w:spacing w:before="120" w:after="120"/>
        <w:rPr>
          <w:rFonts w:cs="Arial"/>
          <w:szCs w:val="24"/>
        </w:rPr>
      </w:pPr>
      <w:r w:rsidRPr="00211D94">
        <w:rPr>
          <w:rFonts w:cs="Arial"/>
          <w:szCs w:val="24"/>
        </w:rPr>
        <w:t>Postęp rzeczowy został przedstawiony w tabelach 2A, 2C, 4A, 4B, 5 oraz w pkt. 11.1. sprawozdania.</w:t>
      </w:r>
    </w:p>
    <w:p w14:paraId="5128B17F" w14:textId="77777777" w:rsidR="009732B9" w:rsidRPr="00211D94" w:rsidRDefault="009732B9" w:rsidP="00F55865">
      <w:pPr>
        <w:pStyle w:val="Nagwek3"/>
        <w:spacing w:before="120" w:after="120"/>
        <w:rPr>
          <w:rFonts w:cs="Arial"/>
        </w:rPr>
      </w:pPr>
      <w:bookmarkStart w:id="31" w:name="_Toc511382674"/>
      <w:bookmarkStart w:id="32" w:name="_Toc100475828"/>
      <w:bookmarkStart w:id="33" w:name="_Toc214025254"/>
      <w:r w:rsidRPr="00211D94">
        <w:rPr>
          <w:rFonts w:cs="Arial"/>
        </w:rPr>
        <w:t>3.1.4. Oś Priorytetowa 4. Kształcenie zawodowe.</w:t>
      </w:r>
      <w:bookmarkEnd w:id="31"/>
      <w:bookmarkEnd w:id="32"/>
      <w:bookmarkEnd w:id="33"/>
    </w:p>
    <w:p w14:paraId="75C11002"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71E5B54C" w14:textId="6219BE34"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29 </w:t>
      </w:r>
      <w:proofErr w:type="spellStart"/>
      <w:r w:rsidRPr="00211D94">
        <w:rPr>
          <w:rFonts w:cs="Arial"/>
          <w:szCs w:val="24"/>
        </w:rPr>
        <w:t>UoD-dof.UE</w:t>
      </w:r>
      <w:proofErr w:type="spellEnd"/>
      <w:r w:rsidRPr="00211D94">
        <w:rPr>
          <w:rFonts w:cs="Arial"/>
          <w:szCs w:val="24"/>
        </w:rPr>
        <w:t xml:space="preserve"> </w:t>
      </w:r>
      <w:r w:rsidR="000C0E2C" w:rsidRPr="00211D94">
        <w:rPr>
          <w:rFonts w:cs="Arial"/>
          <w:szCs w:val="24"/>
        </w:rPr>
        <w:t>73,3</w:t>
      </w:r>
      <w:r w:rsidRPr="00211D94">
        <w:rPr>
          <w:rFonts w:cs="Arial"/>
          <w:szCs w:val="24"/>
        </w:rPr>
        <w:t xml:space="preserve"> mln EUR–</w:t>
      </w:r>
      <w:r w:rsidR="000C0E2C" w:rsidRPr="00211D94">
        <w:rPr>
          <w:rFonts w:cs="Arial"/>
          <w:szCs w:val="24"/>
        </w:rPr>
        <w:t>106,8</w:t>
      </w:r>
      <w:r w:rsidRPr="00211D94">
        <w:rPr>
          <w:rFonts w:cs="Arial"/>
          <w:szCs w:val="24"/>
        </w:rPr>
        <w:t xml:space="preserve">% alokacji, ogółem </w:t>
      </w:r>
      <w:r w:rsidR="000C0E2C" w:rsidRPr="00211D94">
        <w:rPr>
          <w:rFonts w:cs="Arial"/>
          <w:szCs w:val="24"/>
        </w:rPr>
        <w:t>97,3</w:t>
      </w:r>
      <w:r w:rsidRPr="00211D94">
        <w:rPr>
          <w:rFonts w:cs="Arial"/>
          <w:szCs w:val="24"/>
        </w:rPr>
        <w:t xml:space="preserve"> mln EUR</w:t>
      </w:r>
    </w:p>
    <w:p w14:paraId="14691B86" w14:textId="3A74F870"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0C0E2C" w:rsidRPr="00211D94">
        <w:rPr>
          <w:rFonts w:cs="Arial"/>
          <w:szCs w:val="24"/>
        </w:rPr>
        <w:t>73,3</w:t>
      </w:r>
      <w:r w:rsidRPr="00211D94">
        <w:rPr>
          <w:rFonts w:cs="Arial"/>
          <w:szCs w:val="24"/>
        </w:rPr>
        <w:t xml:space="preserve"> mln EUR–</w:t>
      </w:r>
      <w:r w:rsidR="000C0E2C" w:rsidRPr="00211D94">
        <w:rPr>
          <w:rFonts w:cs="Arial"/>
          <w:szCs w:val="24"/>
        </w:rPr>
        <w:t>106,8</w:t>
      </w:r>
      <w:r w:rsidRPr="00211D94">
        <w:rPr>
          <w:rFonts w:cs="Arial"/>
          <w:szCs w:val="24"/>
        </w:rPr>
        <w:t xml:space="preserve">% alokacji, ogółem </w:t>
      </w:r>
      <w:r w:rsidR="000C0E2C" w:rsidRPr="00211D94">
        <w:rPr>
          <w:rFonts w:cs="Arial"/>
          <w:szCs w:val="24"/>
        </w:rPr>
        <w:t>98,1</w:t>
      </w:r>
      <w:r w:rsidRPr="00211D94">
        <w:rPr>
          <w:rFonts w:cs="Arial"/>
          <w:szCs w:val="24"/>
        </w:rPr>
        <w:t xml:space="preserve"> mln EUR</w:t>
      </w:r>
    </w:p>
    <w:p w14:paraId="1F51A159" w14:textId="5CE0AD5E"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0C0E2C" w:rsidRPr="00211D94">
        <w:rPr>
          <w:rFonts w:cs="Arial"/>
          <w:szCs w:val="24"/>
        </w:rPr>
        <w:t>68,7</w:t>
      </w:r>
      <w:r w:rsidR="009732B9" w:rsidRPr="00211D94">
        <w:rPr>
          <w:rFonts w:cs="Arial"/>
          <w:szCs w:val="24"/>
        </w:rPr>
        <w:t xml:space="preserve"> mln EUR–</w:t>
      </w:r>
      <w:r w:rsidR="000C0E2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6C7A2D" w:rsidRPr="00211D94">
        <w:rPr>
          <w:rFonts w:cs="Arial"/>
          <w:szCs w:val="24"/>
        </w:rPr>
        <w:t>88,3</w:t>
      </w:r>
      <w:r w:rsidR="009732B9" w:rsidRPr="00211D94">
        <w:rPr>
          <w:rFonts w:cs="Arial"/>
          <w:szCs w:val="24"/>
        </w:rPr>
        <w:t xml:space="preserve"> mln EUR</w:t>
      </w:r>
    </w:p>
    <w:p w14:paraId="19A7999E" w14:textId="77777777" w:rsidR="009732B9" w:rsidRPr="00211D94" w:rsidRDefault="009732B9" w:rsidP="00F55865">
      <w:pPr>
        <w:spacing w:before="120" w:after="120"/>
        <w:rPr>
          <w:rFonts w:cs="Arial"/>
          <w:szCs w:val="24"/>
        </w:rPr>
      </w:pPr>
      <w:r w:rsidRPr="00211D94">
        <w:rPr>
          <w:rFonts w:cs="Arial"/>
          <w:szCs w:val="24"/>
        </w:rPr>
        <w:t>Charakterystyka projektów</w:t>
      </w:r>
    </w:p>
    <w:p w14:paraId="4DBD0469"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(72,4%), szkoły/uczelnie/jednostki naukowe (20,7%), NGO (6,9%)</w:t>
      </w:r>
    </w:p>
    <w:p w14:paraId="675F0AF5"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Główne rodzaje dział. gosp.: edukacja</w:t>
      </w:r>
    </w:p>
    <w:p w14:paraId="4434388A"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84.11.Z, 85.60.Z</w:t>
      </w:r>
    </w:p>
    <w:p w14:paraId="2269D050" w14:textId="77777777" w:rsidR="009732B9" w:rsidRPr="00211D94" w:rsidRDefault="009732B9" w:rsidP="00F55865">
      <w:pPr>
        <w:numPr>
          <w:ilvl w:val="0"/>
          <w:numId w:val="6"/>
        </w:numPr>
        <w:spacing w:before="120" w:after="120"/>
        <w:rPr>
          <w:rFonts w:cs="Arial"/>
          <w:szCs w:val="24"/>
        </w:rPr>
      </w:pPr>
      <w:r w:rsidRPr="00211D94">
        <w:rPr>
          <w:rFonts w:cs="Arial"/>
          <w:szCs w:val="24"/>
        </w:rPr>
        <w:t>100,0% projektów na obszarach miejskich</w:t>
      </w:r>
    </w:p>
    <w:p w14:paraId="50696028" w14:textId="77777777" w:rsidR="009732B9" w:rsidRPr="00211D94" w:rsidRDefault="009732B9" w:rsidP="00F55865">
      <w:pPr>
        <w:numPr>
          <w:ilvl w:val="0"/>
          <w:numId w:val="6"/>
        </w:numPr>
        <w:spacing w:before="120" w:after="120"/>
        <w:rPr>
          <w:rFonts w:cs="Arial"/>
          <w:szCs w:val="24"/>
        </w:rPr>
      </w:pPr>
      <w:r w:rsidRPr="00211D94">
        <w:rPr>
          <w:rFonts w:cs="Arial"/>
          <w:szCs w:val="24"/>
        </w:rPr>
        <w:t>W Dz. 4.1 (PI 10a) realizowane są 23 projekty zintegrowane z projektami w Poddziałaniu 3.3.1 (PI 10iv)</w:t>
      </w:r>
    </w:p>
    <w:p w14:paraId="759AC93A" w14:textId="54D73876" w:rsidR="009732B9" w:rsidRPr="00211D94" w:rsidRDefault="009732B9" w:rsidP="00F55865">
      <w:pPr>
        <w:spacing w:before="120" w:after="120"/>
        <w:rPr>
          <w:rFonts w:cs="Arial"/>
          <w:szCs w:val="24"/>
        </w:rPr>
      </w:pPr>
      <w:r w:rsidRPr="00211D94">
        <w:rPr>
          <w:rFonts w:cs="Arial"/>
          <w:szCs w:val="24"/>
        </w:rPr>
        <w:t>Ramy wykonania</w:t>
      </w:r>
    </w:p>
    <w:p w14:paraId="5F9DD8D6" w14:textId="1A85BF0F"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4E26A916" w14:textId="4BD8883D"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Liczba obiektów infrastruktury jednostek organizacyjnych systemu oświaty –</w:t>
      </w:r>
      <w:r w:rsidR="009132D9" w:rsidRPr="00211D94">
        <w:rPr>
          <w:rFonts w:cs="Arial"/>
          <w:szCs w:val="24"/>
        </w:rPr>
        <w:t xml:space="preserve"> 115,7</w:t>
      </w:r>
      <w:r w:rsidRPr="00211D94">
        <w:rPr>
          <w:rFonts w:cs="Arial"/>
          <w:szCs w:val="24"/>
        </w:rPr>
        <w:t>% wartości docelowej na 2023r.</w:t>
      </w:r>
    </w:p>
    <w:p w14:paraId="1755125A" w14:textId="6C046809"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Wskaźnik finansowy – </w:t>
      </w:r>
      <w:r w:rsidR="009132D9" w:rsidRPr="00211D94">
        <w:rPr>
          <w:rFonts w:cs="Arial"/>
          <w:szCs w:val="24"/>
        </w:rPr>
        <w:t>111,0</w:t>
      </w:r>
      <w:r w:rsidRPr="00211D94">
        <w:rPr>
          <w:rFonts w:cs="Arial"/>
          <w:szCs w:val="24"/>
        </w:rPr>
        <w:t>% wartości docelowej na 2023r.</w:t>
      </w:r>
    </w:p>
    <w:p w14:paraId="0018126A" w14:textId="79197B8B" w:rsidR="0079763C" w:rsidRPr="00211D94" w:rsidRDefault="0079763C" w:rsidP="00F55865">
      <w:pPr>
        <w:spacing w:before="120" w:after="120"/>
        <w:rPr>
          <w:rFonts w:cs="Arial"/>
          <w:szCs w:val="24"/>
        </w:rPr>
      </w:pPr>
      <w:r w:rsidRPr="00211D94">
        <w:rPr>
          <w:rFonts w:cs="Arial"/>
          <w:szCs w:val="24"/>
        </w:rPr>
        <w:t>Postęp rzeczowy został przedstawiony w tabelach 3A, 5 oraz w pkt. 11.1. sprawozdania.</w:t>
      </w:r>
    </w:p>
    <w:p w14:paraId="42127AD9" w14:textId="244AD22F" w:rsidR="009E0224" w:rsidRPr="00211D94" w:rsidRDefault="00EA2E58" w:rsidP="00F55865">
      <w:pPr>
        <w:pStyle w:val="Nagwek3"/>
        <w:spacing w:before="120" w:after="120"/>
        <w:rPr>
          <w:rFonts w:cs="Arial"/>
          <w:color w:val="FFFFFF" w:themeColor="background1"/>
        </w:rPr>
      </w:pPr>
      <w:bookmarkStart w:id="34" w:name="_Toc43272725"/>
      <w:bookmarkStart w:id="35" w:name="_Toc43272788"/>
      <w:bookmarkStart w:id="36" w:name="_Toc43272849"/>
      <w:bookmarkStart w:id="37" w:name="_Toc70580926"/>
      <w:bookmarkStart w:id="38" w:name="_Toc70589006"/>
      <w:bookmarkStart w:id="39" w:name="_Toc70589098"/>
      <w:bookmarkStart w:id="40" w:name="_Toc43272726"/>
      <w:bookmarkStart w:id="41" w:name="_Toc43272789"/>
      <w:bookmarkStart w:id="42" w:name="_Toc43272850"/>
      <w:bookmarkStart w:id="43" w:name="_Toc70580927"/>
      <w:bookmarkStart w:id="44" w:name="_Toc70589007"/>
      <w:bookmarkStart w:id="45" w:name="_Toc70589099"/>
      <w:bookmarkStart w:id="46" w:name="_Toc43272727"/>
      <w:bookmarkStart w:id="47" w:name="_Toc43272790"/>
      <w:bookmarkStart w:id="48" w:name="_Toc43272851"/>
      <w:bookmarkStart w:id="49" w:name="_Toc70580928"/>
      <w:bookmarkStart w:id="50" w:name="_Toc70589008"/>
      <w:bookmarkStart w:id="51" w:name="_Toc70589100"/>
      <w:bookmarkStart w:id="52" w:name="_Toc484443178"/>
      <w:bookmarkStart w:id="53" w:name="_Toc433329"/>
      <w:bookmarkStart w:id="54" w:name="_Toc3973342"/>
      <w:bookmarkStart w:id="55" w:name="_Toc214025255"/>
      <w:bookmarkEnd w:id="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11D94">
        <w:rPr>
          <w:rFonts w:cs="Arial"/>
          <w:color w:val="FFFFFF" w:themeColor="background1"/>
        </w:rPr>
        <w:t>3.1</w:t>
      </w:r>
      <w:r w:rsidR="009732B9" w:rsidRPr="00211D94">
        <w:rPr>
          <w:rFonts w:cs="Arial"/>
          <w:color w:val="FFFFFF" w:themeColor="background1"/>
        </w:rPr>
        <w:t>.5</w:t>
      </w:r>
      <w:r w:rsidRPr="00211D94">
        <w:rPr>
          <w:rFonts w:cs="Arial"/>
          <w:color w:val="FFFFFF" w:themeColor="background1"/>
        </w:rPr>
        <w:t xml:space="preserve">. </w:t>
      </w:r>
      <w:r w:rsidR="009E0224" w:rsidRPr="00211D94">
        <w:rPr>
          <w:rFonts w:cs="Arial"/>
          <w:color w:val="FFFFFF" w:themeColor="background1"/>
        </w:rPr>
        <w:t>O</w:t>
      </w:r>
      <w:r w:rsidR="007B57EB" w:rsidRPr="00211D94">
        <w:rPr>
          <w:rFonts w:cs="Arial"/>
          <w:color w:val="FFFFFF" w:themeColor="background1"/>
        </w:rPr>
        <w:t xml:space="preserve">ś </w:t>
      </w:r>
      <w:r w:rsidR="009E0224" w:rsidRPr="00211D94">
        <w:rPr>
          <w:rFonts w:cs="Arial"/>
          <w:color w:val="FFFFFF" w:themeColor="background1"/>
        </w:rPr>
        <w:t>P</w:t>
      </w:r>
      <w:r w:rsidR="007B57EB" w:rsidRPr="00211D94">
        <w:rPr>
          <w:rFonts w:cs="Arial"/>
          <w:color w:val="FFFFFF" w:themeColor="background1"/>
        </w:rPr>
        <w:t xml:space="preserve">riorytetowa </w:t>
      </w:r>
      <w:r w:rsidR="009E0224" w:rsidRPr="00211D94">
        <w:rPr>
          <w:rFonts w:cs="Arial"/>
          <w:color w:val="FFFFFF" w:themeColor="background1"/>
        </w:rPr>
        <w:t>5</w:t>
      </w:r>
      <w:r w:rsidR="007B57EB" w:rsidRPr="00211D94">
        <w:rPr>
          <w:rFonts w:cs="Arial"/>
          <w:color w:val="FFFFFF" w:themeColor="background1"/>
        </w:rPr>
        <w:t>.</w:t>
      </w:r>
      <w:r w:rsidR="009E0224" w:rsidRPr="00211D94">
        <w:rPr>
          <w:rFonts w:cs="Arial"/>
          <w:color w:val="FFFFFF" w:themeColor="background1"/>
        </w:rPr>
        <w:t xml:space="preserve"> </w:t>
      </w:r>
      <w:bookmarkEnd w:id="52"/>
      <w:r w:rsidR="009E0224" w:rsidRPr="00211D94">
        <w:rPr>
          <w:rFonts w:cs="Arial"/>
          <w:color w:val="FFFFFF" w:themeColor="background1"/>
        </w:rPr>
        <w:t>Z</w:t>
      </w:r>
      <w:bookmarkEnd w:id="53"/>
      <w:bookmarkEnd w:id="54"/>
      <w:r w:rsidR="007B57EB" w:rsidRPr="00211D94">
        <w:rPr>
          <w:rFonts w:cs="Arial"/>
          <w:color w:val="FFFFFF" w:themeColor="background1"/>
        </w:rPr>
        <w:t>atrudnienie</w:t>
      </w:r>
      <w:bookmarkEnd w:id="55"/>
    </w:p>
    <w:p w14:paraId="2F5E5E33" w14:textId="77777777" w:rsidR="00C43D33" w:rsidRPr="00211D94" w:rsidRDefault="00E0050F" w:rsidP="00F55865">
      <w:pPr>
        <w:spacing w:before="120" w:after="120"/>
        <w:rPr>
          <w:rFonts w:cs="Arial"/>
          <w:szCs w:val="24"/>
        </w:rPr>
      </w:pPr>
      <w:r w:rsidRPr="00211D94">
        <w:rPr>
          <w:rFonts w:cs="Arial"/>
          <w:szCs w:val="24"/>
        </w:rPr>
        <w:t xml:space="preserve">Łącznie </w:t>
      </w:r>
      <w:r w:rsidR="00C43D33" w:rsidRPr="00211D94">
        <w:rPr>
          <w:rFonts w:cs="Arial"/>
          <w:szCs w:val="24"/>
        </w:rPr>
        <w:t xml:space="preserve">w okresie realizacji Programu: </w:t>
      </w:r>
    </w:p>
    <w:p w14:paraId="78A4F400" w14:textId="1F7A688A" w:rsidR="00C43D33" w:rsidRPr="00211D94" w:rsidRDefault="00C43D33" w:rsidP="00F55865">
      <w:pPr>
        <w:numPr>
          <w:ilvl w:val="0"/>
          <w:numId w:val="1"/>
        </w:numPr>
        <w:spacing w:before="120" w:after="120"/>
        <w:rPr>
          <w:rFonts w:cs="Arial"/>
          <w:szCs w:val="24"/>
        </w:rPr>
      </w:pPr>
      <w:r w:rsidRPr="00211D94">
        <w:rPr>
          <w:rFonts w:cs="Arial"/>
          <w:szCs w:val="24"/>
        </w:rPr>
        <w:t xml:space="preserve">podpisano 513 </w:t>
      </w:r>
      <w:proofErr w:type="spellStart"/>
      <w:r w:rsidRPr="00211D94">
        <w:rPr>
          <w:rFonts w:cs="Arial"/>
          <w:szCs w:val="24"/>
        </w:rPr>
        <w:t>UoD-dof.UE</w:t>
      </w:r>
      <w:proofErr w:type="spellEnd"/>
      <w:r w:rsidRPr="00211D94">
        <w:rPr>
          <w:rFonts w:cs="Arial"/>
          <w:szCs w:val="24"/>
        </w:rPr>
        <w:t xml:space="preserve"> 218,</w:t>
      </w:r>
      <w:r w:rsidR="00C840F9" w:rsidRPr="00211D94">
        <w:rPr>
          <w:rFonts w:cs="Arial"/>
          <w:szCs w:val="24"/>
        </w:rPr>
        <w:t>7</w:t>
      </w:r>
      <w:r w:rsidRPr="00211D94">
        <w:rPr>
          <w:rFonts w:cs="Arial"/>
          <w:szCs w:val="24"/>
        </w:rPr>
        <w:t xml:space="preserve"> mln EUR–</w:t>
      </w:r>
      <w:r w:rsidR="00C840F9" w:rsidRPr="00211D94">
        <w:rPr>
          <w:rFonts w:cs="Arial"/>
          <w:szCs w:val="24"/>
        </w:rPr>
        <w:t>111,3</w:t>
      </w:r>
      <w:r w:rsidRPr="00211D94">
        <w:rPr>
          <w:rFonts w:cs="Arial"/>
          <w:szCs w:val="24"/>
        </w:rPr>
        <w:t>% alokacji, ogółem 257,</w:t>
      </w:r>
      <w:r w:rsidR="00C840F9" w:rsidRPr="00211D94">
        <w:rPr>
          <w:rFonts w:cs="Arial"/>
          <w:szCs w:val="24"/>
        </w:rPr>
        <w:t>3</w:t>
      </w:r>
      <w:r w:rsidRPr="00211D94">
        <w:rPr>
          <w:rFonts w:cs="Arial"/>
          <w:szCs w:val="24"/>
        </w:rPr>
        <w:t xml:space="preserve"> mln EUR</w:t>
      </w:r>
    </w:p>
    <w:p w14:paraId="6B31A71F" w14:textId="1B0D86C1" w:rsidR="00C43D33" w:rsidRPr="00211D94" w:rsidRDefault="00C43D33"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205,5 mln EUR–</w:t>
      </w:r>
      <w:r w:rsidR="00C840F9" w:rsidRPr="00211D94">
        <w:rPr>
          <w:rFonts w:cs="Arial"/>
          <w:szCs w:val="24"/>
        </w:rPr>
        <w:t>104,6</w:t>
      </w:r>
      <w:r w:rsidRPr="00211D94">
        <w:rPr>
          <w:rFonts w:cs="Arial"/>
          <w:szCs w:val="24"/>
        </w:rPr>
        <w:t>% alokacji, ogółem 241,</w:t>
      </w:r>
      <w:r w:rsidR="00C840F9" w:rsidRPr="00211D94">
        <w:rPr>
          <w:rFonts w:cs="Arial"/>
          <w:szCs w:val="24"/>
        </w:rPr>
        <w:t>8</w:t>
      </w:r>
      <w:r w:rsidRPr="00211D94">
        <w:rPr>
          <w:rFonts w:cs="Arial"/>
          <w:szCs w:val="24"/>
        </w:rPr>
        <w:t xml:space="preserve"> mln EUR</w:t>
      </w:r>
    </w:p>
    <w:p w14:paraId="6AE54BAB" w14:textId="0DE03E65" w:rsidR="00C43D33" w:rsidRPr="00211D94" w:rsidRDefault="00076126" w:rsidP="00F55865">
      <w:pPr>
        <w:numPr>
          <w:ilvl w:val="0"/>
          <w:numId w:val="1"/>
        </w:numPr>
        <w:spacing w:before="120" w:after="120"/>
        <w:rPr>
          <w:rFonts w:cs="Arial"/>
          <w:szCs w:val="24"/>
        </w:rPr>
      </w:pPr>
      <w:bookmarkStart w:id="56" w:name="_Hlk211601111"/>
      <w:r w:rsidRPr="00211D94">
        <w:rPr>
          <w:rFonts w:cs="Arial"/>
          <w:szCs w:val="24"/>
        </w:rPr>
        <w:t>certyfikowano</w:t>
      </w:r>
      <w:r w:rsidR="00D93FA5" w:rsidRPr="00211D94">
        <w:rPr>
          <w:rFonts w:cs="Arial"/>
          <w:szCs w:val="24"/>
        </w:rPr>
        <w:t xml:space="preserve"> kwotę </w:t>
      </w:r>
      <w:proofErr w:type="spellStart"/>
      <w:r w:rsidR="00D93FA5" w:rsidRPr="00211D94">
        <w:rPr>
          <w:rFonts w:cs="Arial"/>
          <w:szCs w:val="24"/>
        </w:rPr>
        <w:t>dof.UE</w:t>
      </w:r>
      <w:proofErr w:type="spellEnd"/>
      <w:r w:rsidR="00D93FA5" w:rsidRPr="00211D94">
        <w:rPr>
          <w:rFonts w:cs="Arial"/>
          <w:szCs w:val="24"/>
        </w:rPr>
        <w:t xml:space="preserve"> </w:t>
      </w:r>
      <w:r w:rsidR="00C840F9" w:rsidRPr="00211D94">
        <w:rPr>
          <w:rFonts w:cs="Arial"/>
          <w:szCs w:val="24"/>
        </w:rPr>
        <w:t>196,5</w:t>
      </w:r>
      <w:r w:rsidR="00C43D33" w:rsidRPr="00211D94">
        <w:rPr>
          <w:rFonts w:cs="Arial"/>
          <w:szCs w:val="24"/>
        </w:rPr>
        <w:t xml:space="preserve"> mln EUR–</w:t>
      </w:r>
      <w:r w:rsidR="00C840F9" w:rsidRPr="00211D94">
        <w:rPr>
          <w:rFonts w:cs="Arial"/>
          <w:szCs w:val="24"/>
        </w:rPr>
        <w:t>100,0</w:t>
      </w:r>
      <w:r w:rsidR="00C43D33" w:rsidRPr="00211D94">
        <w:rPr>
          <w:rFonts w:cs="Arial"/>
          <w:szCs w:val="24"/>
        </w:rPr>
        <w:t xml:space="preserve">% alokacji, </w:t>
      </w:r>
      <w:r w:rsidR="006C7A2D" w:rsidRPr="00211D94">
        <w:rPr>
          <w:rFonts w:cs="Arial"/>
          <w:szCs w:val="24"/>
        </w:rPr>
        <w:t>łączna wartość wydatków kwalifikowalnych wyniosła</w:t>
      </w:r>
      <w:r w:rsidR="00C43D33" w:rsidRPr="00211D94">
        <w:rPr>
          <w:rFonts w:cs="Arial"/>
          <w:szCs w:val="24"/>
        </w:rPr>
        <w:t xml:space="preserve"> </w:t>
      </w:r>
      <w:r w:rsidR="006C7A2D" w:rsidRPr="00211D94">
        <w:rPr>
          <w:rFonts w:cs="Arial"/>
          <w:szCs w:val="24"/>
        </w:rPr>
        <w:t>229,1</w:t>
      </w:r>
      <w:r w:rsidR="00C43D33" w:rsidRPr="00211D94">
        <w:rPr>
          <w:rFonts w:cs="Arial"/>
          <w:szCs w:val="24"/>
        </w:rPr>
        <w:t xml:space="preserve"> mln EUR</w:t>
      </w:r>
    </w:p>
    <w:bookmarkEnd w:id="56"/>
    <w:p w14:paraId="7994BF40" w14:textId="77777777" w:rsidR="00C43D33" w:rsidRPr="00211D94" w:rsidRDefault="00C43D33" w:rsidP="00F55865">
      <w:pPr>
        <w:spacing w:before="120" w:after="120"/>
        <w:rPr>
          <w:rFonts w:cs="Arial"/>
          <w:szCs w:val="24"/>
        </w:rPr>
      </w:pPr>
      <w:r w:rsidRPr="00211D94">
        <w:rPr>
          <w:rFonts w:cs="Arial"/>
          <w:szCs w:val="24"/>
        </w:rPr>
        <w:t>Charakterystyka projektów:</w:t>
      </w:r>
    </w:p>
    <w:p w14:paraId="5A79FC40" w14:textId="46EFE552" w:rsidR="00C43D33" w:rsidRPr="00211D94" w:rsidRDefault="00C43D33" w:rsidP="00F55865">
      <w:pPr>
        <w:numPr>
          <w:ilvl w:val="0"/>
          <w:numId w:val="6"/>
        </w:numPr>
        <w:spacing w:before="120" w:after="120"/>
        <w:rPr>
          <w:rFonts w:cs="Arial"/>
          <w:szCs w:val="24"/>
        </w:rPr>
      </w:pPr>
      <w:r w:rsidRPr="00211D94">
        <w:rPr>
          <w:rFonts w:cs="Arial"/>
          <w:szCs w:val="24"/>
        </w:rPr>
        <w:t>Przedsiębiorcy (54,</w:t>
      </w:r>
      <w:r w:rsidR="00167F04" w:rsidRPr="00211D94">
        <w:rPr>
          <w:rFonts w:cs="Arial"/>
          <w:szCs w:val="24"/>
        </w:rPr>
        <w:t>4</w:t>
      </w:r>
      <w:r w:rsidRPr="00211D94">
        <w:rPr>
          <w:rFonts w:cs="Arial"/>
          <w:szCs w:val="24"/>
        </w:rPr>
        <w:t>%), JST (</w:t>
      </w:r>
      <w:r w:rsidR="00167F04" w:rsidRPr="00211D94">
        <w:rPr>
          <w:rFonts w:cs="Arial"/>
          <w:szCs w:val="24"/>
        </w:rPr>
        <w:t>31,4</w:t>
      </w:r>
      <w:r w:rsidRPr="00211D94">
        <w:rPr>
          <w:rFonts w:cs="Arial"/>
          <w:szCs w:val="24"/>
        </w:rPr>
        <w:t>%), NGO (</w:t>
      </w:r>
      <w:r w:rsidR="00167F04" w:rsidRPr="00211D94">
        <w:rPr>
          <w:rFonts w:cs="Arial"/>
          <w:szCs w:val="24"/>
        </w:rPr>
        <w:t>11,7</w:t>
      </w:r>
      <w:r w:rsidRPr="00211D94">
        <w:rPr>
          <w:rFonts w:cs="Arial"/>
          <w:szCs w:val="24"/>
        </w:rPr>
        <w:t>%), szkoły/uczelnie/jednostki naukowe (</w:t>
      </w:r>
      <w:r w:rsidR="00167F04" w:rsidRPr="00211D94">
        <w:rPr>
          <w:rFonts w:cs="Arial"/>
          <w:szCs w:val="24"/>
        </w:rPr>
        <w:t>2,1</w:t>
      </w:r>
      <w:r w:rsidRPr="00211D94">
        <w:rPr>
          <w:rFonts w:cs="Arial"/>
          <w:szCs w:val="24"/>
        </w:rPr>
        <w:t>%)</w:t>
      </w:r>
      <w:r w:rsidR="00167F04" w:rsidRPr="00211D94">
        <w:rPr>
          <w:rFonts w:cs="Arial"/>
          <w:szCs w:val="24"/>
        </w:rPr>
        <w:t>, inne (0,4%)</w:t>
      </w:r>
    </w:p>
    <w:p w14:paraId="14CF02C9" w14:textId="77777777" w:rsidR="00C43D33" w:rsidRPr="00211D94" w:rsidRDefault="00C43D33" w:rsidP="00F55865">
      <w:pPr>
        <w:numPr>
          <w:ilvl w:val="0"/>
          <w:numId w:val="6"/>
        </w:numPr>
        <w:spacing w:before="120" w:after="120"/>
        <w:rPr>
          <w:rFonts w:cs="Arial"/>
          <w:szCs w:val="24"/>
        </w:rPr>
      </w:pPr>
      <w:r w:rsidRPr="00211D94">
        <w:rPr>
          <w:rFonts w:cs="Arial"/>
          <w:szCs w:val="24"/>
        </w:rPr>
        <w:t>Główne rodzaje dział. gosp.: edukacja, administracja publiczna, opieka zdrowotna, działalność w zakresie opieki społecznej</w:t>
      </w:r>
    </w:p>
    <w:p w14:paraId="64AAA332" w14:textId="77777777" w:rsidR="00C43D33" w:rsidRPr="00211D94" w:rsidRDefault="00C43D33" w:rsidP="00F55865">
      <w:pPr>
        <w:numPr>
          <w:ilvl w:val="0"/>
          <w:numId w:val="6"/>
        </w:numPr>
        <w:spacing w:before="120" w:after="120"/>
        <w:rPr>
          <w:rFonts w:cs="Arial"/>
          <w:szCs w:val="24"/>
        </w:rPr>
      </w:pPr>
      <w:r w:rsidRPr="00211D94">
        <w:rPr>
          <w:rFonts w:cs="Arial"/>
          <w:szCs w:val="24"/>
        </w:rPr>
        <w:t>Główne PKD Beneficjentów: 85.59.B, 84.11.Z</w:t>
      </w:r>
    </w:p>
    <w:p w14:paraId="0143AEA1" w14:textId="360608A0" w:rsidR="00C43D33" w:rsidRPr="00211D94" w:rsidRDefault="00C43D33" w:rsidP="00F55865">
      <w:pPr>
        <w:numPr>
          <w:ilvl w:val="0"/>
          <w:numId w:val="6"/>
        </w:numPr>
        <w:spacing w:before="120" w:after="120"/>
        <w:rPr>
          <w:rFonts w:cs="Arial"/>
          <w:szCs w:val="24"/>
        </w:rPr>
      </w:pPr>
      <w:r w:rsidRPr="00211D94">
        <w:rPr>
          <w:rFonts w:cs="Arial"/>
          <w:szCs w:val="24"/>
        </w:rPr>
        <w:t>37,4% projektów na obszarach miejskich</w:t>
      </w:r>
    </w:p>
    <w:p w14:paraId="2085A616" w14:textId="73BFD635" w:rsidR="00297BC4" w:rsidRPr="00211D94" w:rsidRDefault="00297BC4" w:rsidP="00F55865">
      <w:pPr>
        <w:numPr>
          <w:ilvl w:val="0"/>
          <w:numId w:val="6"/>
        </w:numPr>
        <w:spacing w:before="120" w:after="120"/>
        <w:rPr>
          <w:rFonts w:cs="Arial"/>
          <w:szCs w:val="24"/>
        </w:rPr>
      </w:pPr>
      <w:r w:rsidRPr="00211D94">
        <w:rPr>
          <w:rFonts w:cs="Arial"/>
          <w:szCs w:val="24"/>
        </w:rPr>
        <w:t>14,8% projektów na obszarach wiejskich</w:t>
      </w:r>
    </w:p>
    <w:p w14:paraId="1C8EF476" w14:textId="77777777" w:rsidR="00C43D33" w:rsidRPr="00211D94" w:rsidRDefault="00C43D33" w:rsidP="00F55865">
      <w:pPr>
        <w:numPr>
          <w:ilvl w:val="0"/>
          <w:numId w:val="6"/>
        </w:numPr>
        <w:spacing w:before="120" w:after="120"/>
        <w:rPr>
          <w:rFonts w:cs="Arial"/>
          <w:szCs w:val="24"/>
        </w:rPr>
      </w:pPr>
      <w:r w:rsidRPr="00211D94">
        <w:rPr>
          <w:rFonts w:cs="Arial"/>
          <w:szCs w:val="24"/>
        </w:rPr>
        <w:t xml:space="preserve">ZIT-66 </w:t>
      </w:r>
      <w:proofErr w:type="spellStart"/>
      <w:r w:rsidRPr="00211D94">
        <w:rPr>
          <w:rFonts w:cs="Arial"/>
          <w:szCs w:val="24"/>
        </w:rPr>
        <w:t>UoD</w:t>
      </w:r>
      <w:proofErr w:type="spellEnd"/>
    </w:p>
    <w:p w14:paraId="33451F85" w14:textId="66C93FCC" w:rsidR="00C43D33" w:rsidRPr="00211D94" w:rsidRDefault="00C43D33" w:rsidP="00F55865">
      <w:pPr>
        <w:spacing w:before="120" w:after="120"/>
        <w:rPr>
          <w:rFonts w:cs="Arial"/>
          <w:szCs w:val="24"/>
        </w:rPr>
      </w:pPr>
      <w:r w:rsidRPr="00211D94">
        <w:rPr>
          <w:rFonts w:cs="Arial"/>
          <w:szCs w:val="24"/>
        </w:rPr>
        <w:t>Ramy wykonania</w:t>
      </w:r>
    </w:p>
    <w:p w14:paraId="51A15744" w14:textId="17FF5122"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7DD70FAF" w14:textId="218994C9" w:rsidR="00C43D33" w:rsidRPr="00211D94" w:rsidRDefault="00C43D33" w:rsidP="00F55865">
      <w:pPr>
        <w:numPr>
          <w:ilvl w:val="0"/>
          <w:numId w:val="3"/>
        </w:numPr>
        <w:spacing w:before="120" w:after="120"/>
        <w:rPr>
          <w:rFonts w:cs="Arial"/>
          <w:szCs w:val="24"/>
        </w:rPr>
      </w:pPr>
      <w:bookmarkStart w:id="57" w:name="_Hlk35844952"/>
      <w:r w:rsidRPr="00211D94">
        <w:rPr>
          <w:rFonts w:cs="Arial"/>
          <w:szCs w:val="24"/>
        </w:rPr>
        <w:t xml:space="preserve">L. os. bezrobotnych, w tym długotrwale bezrobotnych objętych wsparciem </w:t>
      </w:r>
      <w:r w:rsidRPr="00211D94">
        <w:rPr>
          <w:rFonts w:cs="Arial"/>
          <w:szCs w:val="24"/>
        </w:rPr>
        <w:br/>
        <w:t>w Programie–112,8% wartości docelowej</w:t>
      </w:r>
    </w:p>
    <w:p w14:paraId="3E81B761" w14:textId="361D9B4B" w:rsidR="00C43D33" w:rsidRPr="00211D94" w:rsidRDefault="00C43D33" w:rsidP="00F55865">
      <w:pPr>
        <w:numPr>
          <w:ilvl w:val="0"/>
          <w:numId w:val="3"/>
        </w:numPr>
        <w:spacing w:before="120" w:after="120"/>
        <w:rPr>
          <w:rFonts w:cs="Arial"/>
          <w:szCs w:val="24"/>
        </w:rPr>
      </w:pPr>
      <w:r w:rsidRPr="00211D94">
        <w:rPr>
          <w:rFonts w:cs="Arial"/>
          <w:szCs w:val="24"/>
        </w:rPr>
        <w:t xml:space="preserve">Liczba osób pozostających bez pracy, które otrzymały bezzwrotne środki </w:t>
      </w:r>
      <w:r w:rsidRPr="00211D94">
        <w:rPr>
          <w:rFonts w:cs="Arial"/>
          <w:szCs w:val="24"/>
        </w:rPr>
        <w:br/>
        <w:t xml:space="preserve">na podjęcie działalności gospodarczej w Programie-99,9% </w:t>
      </w:r>
    </w:p>
    <w:p w14:paraId="1164DDC8" w14:textId="5415710F" w:rsidR="00C43D33" w:rsidRPr="00211D94" w:rsidRDefault="00C43D33" w:rsidP="00F55865">
      <w:pPr>
        <w:numPr>
          <w:ilvl w:val="0"/>
          <w:numId w:val="3"/>
        </w:numPr>
        <w:spacing w:before="120" w:after="120"/>
        <w:rPr>
          <w:rFonts w:cs="Arial"/>
          <w:szCs w:val="24"/>
        </w:rPr>
      </w:pPr>
      <w:r w:rsidRPr="00211D94">
        <w:rPr>
          <w:rFonts w:cs="Arial"/>
          <w:szCs w:val="24"/>
        </w:rPr>
        <w:t xml:space="preserve"> Wskaźnik finansowy–102,</w:t>
      </w:r>
      <w:r w:rsidR="00297BC4" w:rsidRPr="00211D94">
        <w:rPr>
          <w:rFonts w:cs="Arial"/>
          <w:szCs w:val="24"/>
        </w:rPr>
        <w:t>7</w:t>
      </w:r>
      <w:r w:rsidRPr="00211D94">
        <w:rPr>
          <w:rFonts w:cs="Arial"/>
          <w:szCs w:val="24"/>
        </w:rPr>
        <w:t>% wartości docelowej na 2023r.</w:t>
      </w:r>
    </w:p>
    <w:bookmarkEnd w:id="57"/>
    <w:p w14:paraId="659CF774" w14:textId="77777777" w:rsidR="00C43D33" w:rsidRPr="00211D94" w:rsidRDefault="00C43D33" w:rsidP="00F55865">
      <w:pPr>
        <w:spacing w:before="120" w:after="120"/>
        <w:rPr>
          <w:rFonts w:cs="Arial"/>
          <w:szCs w:val="24"/>
        </w:rPr>
      </w:pPr>
      <w:r w:rsidRPr="00211D94">
        <w:rPr>
          <w:rFonts w:cs="Arial"/>
          <w:szCs w:val="24"/>
        </w:rPr>
        <w:t xml:space="preserve">Postęp rzeczowy został przedstawiony w tabelach 2A, 2C, 4A, 4B, 5 oraz w pkt. 11.1. sprawozdania. </w:t>
      </w:r>
    </w:p>
    <w:p w14:paraId="291DD031" w14:textId="0BA0AC63" w:rsidR="005E6576" w:rsidRPr="00211D94" w:rsidRDefault="00C43D33" w:rsidP="00F55865">
      <w:pPr>
        <w:spacing w:before="120" w:after="120"/>
        <w:rPr>
          <w:rFonts w:cs="Arial"/>
          <w:szCs w:val="24"/>
        </w:rPr>
      </w:pPr>
      <w:r w:rsidRPr="00211D94">
        <w:rPr>
          <w:rFonts w:cs="Arial"/>
          <w:szCs w:val="24"/>
        </w:rPr>
        <w:t>Opis znaczących problemów i działań podjętych w celu ich rozwiązania został zamieszczony w pkt. 11.1.</w:t>
      </w:r>
    </w:p>
    <w:p w14:paraId="41C1DFDB" w14:textId="4C1F3A4E" w:rsidR="009E0224" w:rsidRPr="00211D94" w:rsidRDefault="00EA2E58" w:rsidP="00F55865">
      <w:pPr>
        <w:pStyle w:val="Nagwek3"/>
        <w:spacing w:before="120" w:after="120"/>
        <w:rPr>
          <w:rFonts w:cs="Arial"/>
          <w:color w:val="FFFFFF" w:themeColor="background1"/>
        </w:rPr>
      </w:pPr>
      <w:bookmarkStart w:id="58" w:name="_Toc484443179"/>
      <w:bookmarkStart w:id="59" w:name="_Toc507765143"/>
      <w:bookmarkStart w:id="60" w:name="_Toc433330"/>
      <w:bookmarkStart w:id="61" w:name="_Toc3973343"/>
      <w:bookmarkStart w:id="62" w:name="_Toc214025256"/>
      <w:r w:rsidRPr="00211D94">
        <w:rPr>
          <w:rFonts w:cs="Arial"/>
          <w:color w:val="FFFFFF" w:themeColor="background1"/>
        </w:rPr>
        <w:t>3.1.</w:t>
      </w:r>
      <w:r w:rsidR="009732B9" w:rsidRPr="00211D94">
        <w:rPr>
          <w:rFonts w:cs="Arial"/>
          <w:color w:val="FFFFFF" w:themeColor="background1"/>
        </w:rPr>
        <w:t>6</w:t>
      </w:r>
      <w:r w:rsidRPr="00211D94">
        <w:rPr>
          <w:rFonts w:cs="Arial"/>
          <w:color w:val="FFFFFF" w:themeColor="background1"/>
        </w:rPr>
        <w:t xml:space="preserve">. </w:t>
      </w:r>
      <w:r w:rsidR="009E0224" w:rsidRPr="00211D94">
        <w:rPr>
          <w:rFonts w:cs="Arial"/>
          <w:color w:val="FFFFFF" w:themeColor="background1"/>
        </w:rPr>
        <w:t>O</w:t>
      </w:r>
      <w:r w:rsidR="007B57EB" w:rsidRPr="00211D94">
        <w:rPr>
          <w:rFonts w:cs="Arial"/>
          <w:color w:val="FFFFFF" w:themeColor="background1"/>
        </w:rPr>
        <w:t xml:space="preserve">ś </w:t>
      </w:r>
      <w:r w:rsidR="009E0224" w:rsidRPr="00211D94">
        <w:rPr>
          <w:rFonts w:cs="Arial"/>
          <w:color w:val="FFFFFF" w:themeColor="background1"/>
        </w:rPr>
        <w:t>P</w:t>
      </w:r>
      <w:r w:rsidR="007B57EB" w:rsidRPr="00211D94">
        <w:rPr>
          <w:rFonts w:cs="Arial"/>
          <w:color w:val="FFFFFF" w:themeColor="background1"/>
        </w:rPr>
        <w:t xml:space="preserve">riorytetowa </w:t>
      </w:r>
      <w:r w:rsidR="009E0224" w:rsidRPr="00211D94">
        <w:rPr>
          <w:rFonts w:cs="Arial"/>
          <w:color w:val="FFFFFF" w:themeColor="background1"/>
        </w:rPr>
        <w:t>6</w:t>
      </w:r>
      <w:r w:rsidR="007B57EB" w:rsidRPr="00211D94">
        <w:rPr>
          <w:rFonts w:cs="Arial"/>
          <w:color w:val="FFFFFF" w:themeColor="background1"/>
        </w:rPr>
        <w:t>.</w:t>
      </w:r>
      <w:r w:rsidR="009E0224" w:rsidRPr="00211D94">
        <w:rPr>
          <w:rFonts w:cs="Arial"/>
          <w:color w:val="FFFFFF" w:themeColor="background1"/>
        </w:rPr>
        <w:t xml:space="preserve"> I</w:t>
      </w:r>
      <w:bookmarkEnd w:id="58"/>
      <w:bookmarkEnd w:id="59"/>
      <w:bookmarkEnd w:id="60"/>
      <w:bookmarkEnd w:id="61"/>
      <w:r w:rsidR="007B57EB" w:rsidRPr="00211D94">
        <w:rPr>
          <w:rFonts w:cs="Arial"/>
          <w:color w:val="FFFFFF" w:themeColor="background1"/>
        </w:rPr>
        <w:t>ntegracja</w:t>
      </w:r>
      <w:bookmarkEnd w:id="62"/>
    </w:p>
    <w:p w14:paraId="28BF677E" w14:textId="77777777" w:rsidR="00C43D33" w:rsidRPr="00211D94" w:rsidRDefault="00E0050F" w:rsidP="00F55865">
      <w:pPr>
        <w:spacing w:before="120" w:after="120"/>
        <w:rPr>
          <w:rFonts w:cs="Arial"/>
          <w:szCs w:val="24"/>
        </w:rPr>
      </w:pPr>
      <w:r w:rsidRPr="00211D94">
        <w:rPr>
          <w:rFonts w:cs="Arial"/>
          <w:szCs w:val="24"/>
        </w:rPr>
        <w:t xml:space="preserve">Łącznie </w:t>
      </w:r>
      <w:r w:rsidR="00C43D33" w:rsidRPr="00211D94">
        <w:rPr>
          <w:rFonts w:cs="Arial"/>
          <w:szCs w:val="24"/>
        </w:rPr>
        <w:t xml:space="preserve">w okresie realizacji Programu: </w:t>
      </w:r>
    </w:p>
    <w:p w14:paraId="4E986B0C" w14:textId="3CCBD82E" w:rsidR="00C43D33" w:rsidRPr="00211D94" w:rsidRDefault="00C43D33" w:rsidP="00F55865">
      <w:pPr>
        <w:numPr>
          <w:ilvl w:val="0"/>
          <w:numId w:val="1"/>
        </w:numPr>
        <w:spacing w:before="120" w:after="120"/>
        <w:rPr>
          <w:rFonts w:cs="Arial"/>
          <w:szCs w:val="24"/>
        </w:rPr>
      </w:pPr>
      <w:r w:rsidRPr="00211D94">
        <w:rPr>
          <w:rFonts w:cs="Arial"/>
          <w:szCs w:val="24"/>
        </w:rPr>
        <w:t xml:space="preserve">podpisano 326 </w:t>
      </w:r>
      <w:proofErr w:type="spellStart"/>
      <w:r w:rsidRPr="00211D94">
        <w:rPr>
          <w:rFonts w:cs="Arial"/>
          <w:szCs w:val="24"/>
        </w:rPr>
        <w:t>UoD-dof.UE</w:t>
      </w:r>
      <w:proofErr w:type="spellEnd"/>
      <w:r w:rsidRPr="00211D94">
        <w:rPr>
          <w:rFonts w:cs="Arial"/>
          <w:szCs w:val="24"/>
        </w:rPr>
        <w:t xml:space="preserve"> 128,71 mln EUR–</w:t>
      </w:r>
      <w:r w:rsidR="00C840F9" w:rsidRPr="00211D94">
        <w:rPr>
          <w:rFonts w:cs="Arial"/>
          <w:szCs w:val="24"/>
        </w:rPr>
        <w:t>107,0</w:t>
      </w:r>
      <w:r w:rsidRPr="00211D94">
        <w:rPr>
          <w:rFonts w:cs="Arial"/>
          <w:szCs w:val="24"/>
        </w:rPr>
        <w:t>% alokacji, ogółem 151,4 mln EUR</w:t>
      </w:r>
    </w:p>
    <w:p w14:paraId="484F8BDE" w14:textId="031EF02F" w:rsidR="00C43D33" w:rsidRPr="00211D94" w:rsidRDefault="00C43D33"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122,8 mln EUR–</w:t>
      </w:r>
      <w:r w:rsidR="00EC7B98" w:rsidRPr="00211D94">
        <w:rPr>
          <w:rFonts w:cs="Arial"/>
          <w:szCs w:val="24"/>
        </w:rPr>
        <w:t>102,1</w:t>
      </w:r>
      <w:r w:rsidRPr="00211D94">
        <w:rPr>
          <w:rFonts w:cs="Arial"/>
          <w:szCs w:val="24"/>
        </w:rPr>
        <w:t>% alokacji, ogółem 144,5 mln EUR</w:t>
      </w:r>
    </w:p>
    <w:p w14:paraId="2EB59BB1" w14:textId="2E51C704" w:rsidR="00C43D33" w:rsidRPr="00211D94" w:rsidRDefault="00C43D33" w:rsidP="00F55865">
      <w:pPr>
        <w:numPr>
          <w:ilvl w:val="0"/>
          <w:numId w:val="1"/>
        </w:numPr>
        <w:spacing w:before="120" w:after="120"/>
        <w:rPr>
          <w:rFonts w:cs="Arial"/>
          <w:szCs w:val="24"/>
        </w:rPr>
      </w:pPr>
      <w:r w:rsidRPr="00211D94">
        <w:rPr>
          <w:rFonts w:cs="Arial"/>
          <w:szCs w:val="24"/>
        </w:rPr>
        <w:t xml:space="preserve"> </w:t>
      </w:r>
      <w:r w:rsidR="00076126"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Pr="00211D94">
        <w:rPr>
          <w:rFonts w:cs="Arial"/>
          <w:szCs w:val="24"/>
        </w:rPr>
        <w:t xml:space="preserve"> </w:t>
      </w:r>
      <w:r w:rsidR="00EC7B98" w:rsidRPr="00211D94">
        <w:rPr>
          <w:rFonts w:cs="Arial"/>
          <w:szCs w:val="24"/>
        </w:rPr>
        <w:t>120,3</w:t>
      </w:r>
      <w:r w:rsidRPr="00211D94">
        <w:rPr>
          <w:rFonts w:cs="Arial"/>
          <w:szCs w:val="24"/>
        </w:rPr>
        <w:t xml:space="preserve"> mln EUR–</w:t>
      </w:r>
      <w:r w:rsidR="00EC7B98" w:rsidRPr="00211D94">
        <w:rPr>
          <w:rFonts w:cs="Arial"/>
          <w:szCs w:val="24"/>
        </w:rPr>
        <w:t>100,0</w:t>
      </w:r>
      <w:r w:rsidRPr="00211D94">
        <w:rPr>
          <w:rFonts w:cs="Arial"/>
          <w:szCs w:val="24"/>
        </w:rPr>
        <w:t xml:space="preserve">% alokacji, </w:t>
      </w:r>
      <w:r w:rsidR="006C7A2D" w:rsidRPr="00211D94">
        <w:rPr>
          <w:rFonts w:cs="Arial"/>
          <w:szCs w:val="24"/>
        </w:rPr>
        <w:t>łączna wartość wydatków kwalifikowalnych wyniosła</w:t>
      </w:r>
      <w:r w:rsidRPr="00211D94">
        <w:rPr>
          <w:rFonts w:cs="Arial"/>
          <w:szCs w:val="24"/>
        </w:rPr>
        <w:t xml:space="preserve"> </w:t>
      </w:r>
      <w:r w:rsidR="006C7A2D" w:rsidRPr="00211D94">
        <w:rPr>
          <w:rFonts w:cs="Arial"/>
          <w:szCs w:val="24"/>
        </w:rPr>
        <w:t>137,8</w:t>
      </w:r>
      <w:r w:rsidRPr="00211D94">
        <w:rPr>
          <w:rFonts w:cs="Arial"/>
          <w:szCs w:val="24"/>
        </w:rPr>
        <w:t xml:space="preserve"> mln EUR</w:t>
      </w:r>
    </w:p>
    <w:p w14:paraId="08229931" w14:textId="77777777" w:rsidR="00C43D33" w:rsidRPr="00211D94" w:rsidRDefault="00C43D33" w:rsidP="00F55865">
      <w:pPr>
        <w:spacing w:before="120" w:after="120"/>
        <w:rPr>
          <w:rFonts w:cs="Arial"/>
          <w:szCs w:val="24"/>
        </w:rPr>
      </w:pPr>
      <w:r w:rsidRPr="00211D94">
        <w:rPr>
          <w:rFonts w:cs="Arial"/>
          <w:szCs w:val="24"/>
        </w:rPr>
        <w:t>Charakterystyka projektów:</w:t>
      </w:r>
    </w:p>
    <w:p w14:paraId="325B8FA5" w14:textId="4A84123F" w:rsidR="00C43D33" w:rsidRPr="00211D94" w:rsidRDefault="00C43D33" w:rsidP="00F55865">
      <w:pPr>
        <w:numPr>
          <w:ilvl w:val="0"/>
          <w:numId w:val="6"/>
        </w:numPr>
        <w:spacing w:before="120" w:after="120"/>
        <w:rPr>
          <w:rFonts w:cs="Arial"/>
          <w:szCs w:val="24"/>
        </w:rPr>
      </w:pPr>
      <w:r w:rsidRPr="00211D94">
        <w:rPr>
          <w:rFonts w:cs="Arial"/>
          <w:szCs w:val="24"/>
        </w:rPr>
        <w:t>JST (</w:t>
      </w:r>
      <w:r w:rsidR="00297BC4" w:rsidRPr="00211D94">
        <w:rPr>
          <w:rFonts w:cs="Arial"/>
          <w:szCs w:val="24"/>
        </w:rPr>
        <w:t>49,4</w:t>
      </w:r>
      <w:r w:rsidRPr="00211D94">
        <w:rPr>
          <w:rFonts w:cs="Arial"/>
          <w:szCs w:val="24"/>
        </w:rPr>
        <w:t>%), NGO (</w:t>
      </w:r>
      <w:r w:rsidR="00297BC4" w:rsidRPr="00211D94">
        <w:rPr>
          <w:rFonts w:cs="Arial"/>
          <w:szCs w:val="24"/>
        </w:rPr>
        <w:t>37,4</w:t>
      </w:r>
      <w:r w:rsidRPr="00211D94">
        <w:rPr>
          <w:rFonts w:cs="Arial"/>
          <w:szCs w:val="24"/>
        </w:rPr>
        <w:t>%), przedsiębiorstwa (11,</w:t>
      </w:r>
      <w:r w:rsidR="00297BC4" w:rsidRPr="00211D94">
        <w:rPr>
          <w:rFonts w:cs="Arial"/>
          <w:szCs w:val="24"/>
        </w:rPr>
        <w:t>4</w:t>
      </w:r>
      <w:r w:rsidRPr="00211D94">
        <w:rPr>
          <w:rFonts w:cs="Arial"/>
          <w:szCs w:val="24"/>
        </w:rPr>
        <w:t xml:space="preserve">%), szkoły/uczelnie/jednostki naukowe (0,6%), </w:t>
      </w:r>
      <w:r w:rsidR="00297BC4" w:rsidRPr="00211D94">
        <w:rPr>
          <w:rFonts w:cs="Arial"/>
          <w:szCs w:val="24"/>
        </w:rPr>
        <w:t>inne</w:t>
      </w:r>
      <w:r w:rsidRPr="00211D94">
        <w:rPr>
          <w:rFonts w:cs="Arial"/>
          <w:szCs w:val="24"/>
        </w:rPr>
        <w:t xml:space="preserve"> (1,2%)</w:t>
      </w:r>
    </w:p>
    <w:p w14:paraId="7DA2722C" w14:textId="77777777" w:rsidR="00C43D33" w:rsidRPr="00211D94" w:rsidRDefault="00C43D33" w:rsidP="00F55865">
      <w:pPr>
        <w:numPr>
          <w:ilvl w:val="0"/>
          <w:numId w:val="6"/>
        </w:numPr>
        <w:spacing w:before="120" w:after="120"/>
        <w:rPr>
          <w:rFonts w:cs="Arial"/>
          <w:szCs w:val="24"/>
        </w:rPr>
      </w:pPr>
      <w:r w:rsidRPr="00211D94">
        <w:rPr>
          <w:rFonts w:cs="Arial"/>
          <w:szCs w:val="24"/>
        </w:rPr>
        <w:t>Główne rodzaje dział. gosp.: administracja publiczna; działalność w zakresie opieki społecznej, usługi komunalne, społeczne i indywidualne</w:t>
      </w:r>
    </w:p>
    <w:p w14:paraId="5C02FBE4" w14:textId="77777777" w:rsidR="00C43D33" w:rsidRPr="00211D94" w:rsidRDefault="00C43D33" w:rsidP="00F55865">
      <w:pPr>
        <w:numPr>
          <w:ilvl w:val="0"/>
          <w:numId w:val="6"/>
        </w:numPr>
        <w:spacing w:before="120" w:after="120"/>
        <w:rPr>
          <w:rFonts w:cs="Arial"/>
          <w:szCs w:val="24"/>
        </w:rPr>
      </w:pPr>
      <w:r w:rsidRPr="00211D94">
        <w:rPr>
          <w:rFonts w:cs="Arial"/>
          <w:szCs w:val="24"/>
        </w:rPr>
        <w:t>Główne PKD Beneficjentów: 84.11.Z, 94.99.Z</w:t>
      </w:r>
    </w:p>
    <w:p w14:paraId="7986480B" w14:textId="559F1CFF" w:rsidR="00C43D33" w:rsidRPr="00211D94" w:rsidRDefault="00C43D33" w:rsidP="00F55865">
      <w:pPr>
        <w:numPr>
          <w:ilvl w:val="0"/>
          <w:numId w:val="6"/>
        </w:numPr>
        <w:spacing w:before="120" w:after="120"/>
        <w:rPr>
          <w:rFonts w:cs="Arial"/>
          <w:szCs w:val="24"/>
        </w:rPr>
      </w:pPr>
      <w:r w:rsidRPr="00211D94">
        <w:rPr>
          <w:rFonts w:cs="Arial"/>
          <w:szCs w:val="24"/>
        </w:rPr>
        <w:t>47,5% projektów na obszarach miejskich</w:t>
      </w:r>
    </w:p>
    <w:p w14:paraId="035526F7" w14:textId="36B50E92" w:rsidR="00297BC4" w:rsidRPr="00211D94" w:rsidRDefault="00297BC4" w:rsidP="00F55865">
      <w:pPr>
        <w:numPr>
          <w:ilvl w:val="0"/>
          <w:numId w:val="6"/>
        </w:numPr>
        <w:spacing w:before="120" w:after="120"/>
        <w:rPr>
          <w:rFonts w:cs="Arial"/>
          <w:szCs w:val="24"/>
        </w:rPr>
      </w:pPr>
      <w:r w:rsidRPr="00211D94">
        <w:rPr>
          <w:rFonts w:cs="Arial"/>
          <w:szCs w:val="24"/>
        </w:rPr>
        <w:t>31,3% projektów na obszarach wiejskich</w:t>
      </w:r>
    </w:p>
    <w:p w14:paraId="2F86D59E" w14:textId="2F9E3CA5" w:rsidR="00C43D33" w:rsidRPr="00211D94" w:rsidRDefault="00C43D33" w:rsidP="00F55865">
      <w:pPr>
        <w:numPr>
          <w:ilvl w:val="0"/>
          <w:numId w:val="6"/>
        </w:numPr>
        <w:spacing w:before="120" w:after="120"/>
        <w:rPr>
          <w:rFonts w:cs="Arial"/>
          <w:szCs w:val="24"/>
        </w:rPr>
      </w:pPr>
      <w:r w:rsidRPr="00211D94">
        <w:rPr>
          <w:rFonts w:cs="Arial"/>
          <w:szCs w:val="24"/>
        </w:rPr>
        <w:t xml:space="preserve">ZIT-45 </w:t>
      </w:r>
      <w:proofErr w:type="spellStart"/>
      <w:r w:rsidRPr="00211D94">
        <w:rPr>
          <w:rFonts w:cs="Arial"/>
          <w:szCs w:val="24"/>
        </w:rPr>
        <w:t>UoD</w:t>
      </w:r>
      <w:proofErr w:type="spellEnd"/>
    </w:p>
    <w:p w14:paraId="62BDDF8B" w14:textId="408856C9" w:rsidR="00C43D33" w:rsidRPr="00211D94" w:rsidRDefault="00C43D33" w:rsidP="00F55865">
      <w:pPr>
        <w:numPr>
          <w:ilvl w:val="0"/>
          <w:numId w:val="6"/>
        </w:numPr>
        <w:spacing w:before="120" w:after="120"/>
        <w:rPr>
          <w:rFonts w:cs="Arial"/>
          <w:szCs w:val="24"/>
        </w:rPr>
      </w:pPr>
      <w:r w:rsidRPr="00211D94">
        <w:rPr>
          <w:rFonts w:cs="Arial"/>
          <w:szCs w:val="24"/>
        </w:rPr>
        <w:t xml:space="preserve">W OP6 </w:t>
      </w:r>
      <w:r w:rsidR="008C5CB8" w:rsidRPr="00211D94">
        <w:rPr>
          <w:rFonts w:cs="Arial"/>
          <w:szCs w:val="24"/>
        </w:rPr>
        <w:t>z</w:t>
      </w:r>
      <w:r w:rsidRPr="00211D94">
        <w:rPr>
          <w:rFonts w:cs="Arial"/>
          <w:szCs w:val="24"/>
        </w:rPr>
        <w:t xml:space="preserve">realizowanych jest 45 projektów zintegrowanych z projektami w Działaniu 7.3. oraz 8.1 </w:t>
      </w:r>
    </w:p>
    <w:p w14:paraId="2935CCD6" w14:textId="2B66EA1F" w:rsidR="00C43D33" w:rsidRPr="00211D94" w:rsidRDefault="00C43D33" w:rsidP="00F55865">
      <w:pPr>
        <w:spacing w:before="120" w:after="120"/>
        <w:rPr>
          <w:rFonts w:cs="Arial"/>
          <w:szCs w:val="24"/>
        </w:rPr>
      </w:pPr>
      <w:r w:rsidRPr="00211D94">
        <w:rPr>
          <w:rFonts w:cs="Arial"/>
          <w:szCs w:val="24"/>
        </w:rPr>
        <w:t>Ramy wykonania</w:t>
      </w:r>
    </w:p>
    <w:p w14:paraId="26306275" w14:textId="38D83F0C"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0FFFF274" w14:textId="77777777" w:rsidR="00C43D33" w:rsidRPr="00211D94" w:rsidRDefault="00C43D33" w:rsidP="00F55865">
      <w:pPr>
        <w:numPr>
          <w:ilvl w:val="0"/>
          <w:numId w:val="2"/>
        </w:numPr>
        <w:spacing w:before="120" w:after="120"/>
        <w:rPr>
          <w:rFonts w:cs="Arial"/>
          <w:szCs w:val="24"/>
        </w:rPr>
      </w:pPr>
      <w:bookmarkStart w:id="63" w:name="_Hlk35845238"/>
      <w:r w:rsidRPr="00211D94">
        <w:rPr>
          <w:rFonts w:cs="Arial"/>
          <w:szCs w:val="24"/>
        </w:rPr>
        <w:t xml:space="preserve">L. os. zagrożonych ubóstwem lub wykluczeniem społ. objętych wsparciem </w:t>
      </w:r>
      <w:r w:rsidRPr="00211D94">
        <w:rPr>
          <w:rFonts w:cs="Arial"/>
          <w:szCs w:val="24"/>
        </w:rPr>
        <w:br/>
        <w:t>w Programie wynosi 117,7% wartości docelowej na 2023 r.</w:t>
      </w:r>
    </w:p>
    <w:p w14:paraId="69051545" w14:textId="740EF098" w:rsidR="00C43D33" w:rsidRPr="00211D94" w:rsidRDefault="00C43D33" w:rsidP="00F55865">
      <w:pPr>
        <w:numPr>
          <w:ilvl w:val="0"/>
          <w:numId w:val="2"/>
        </w:numPr>
        <w:spacing w:before="120" w:after="120"/>
        <w:rPr>
          <w:rFonts w:cs="Arial"/>
          <w:szCs w:val="24"/>
        </w:rPr>
      </w:pPr>
      <w:r w:rsidRPr="00211D94">
        <w:rPr>
          <w:rFonts w:cs="Arial"/>
          <w:szCs w:val="24"/>
        </w:rPr>
        <w:t>Wskaźnik finansowy–100,5% wartości docelowej na 2023 r.</w:t>
      </w:r>
    </w:p>
    <w:bookmarkEnd w:id="63"/>
    <w:p w14:paraId="030DDCB3" w14:textId="77777777" w:rsidR="00C43D33" w:rsidRPr="00211D94" w:rsidRDefault="00C43D33" w:rsidP="00F55865">
      <w:pPr>
        <w:spacing w:before="120" w:after="120"/>
        <w:rPr>
          <w:rFonts w:cs="Arial"/>
          <w:szCs w:val="24"/>
        </w:rPr>
      </w:pPr>
      <w:r w:rsidRPr="00211D94">
        <w:rPr>
          <w:rFonts w:cs="Arial"/>
          <w:szCs w:val="24"/>
        </w:rPr>
        <w:t xml:space="preserve">Postęp rzeczowy został przedstawiony w tabelach 2A, 2C, 4A, 4B, 5 oraz w pkt. 11.1. sprawozdania. </w:t>
      </w:r>
    </w:p>
    <w:p w14:paraId="45D87055" w14:textId="0D5235F4" w:rsidR="00C43D33" w:rsidRPr="00211D94" w:rsidRDefault="00C43D33" w:rsidP="00F55865">
      <w:pPr>
        <w:spacing w:before="120" w:after="120"/>
        <w:rPr>
          <w:rFonts w:cs="Arial"/>
          <w:szCs w:val="24"/>
        </w:rPr>
      </w:pPr>
      <w:r w:rsidRPr="00211D94">
        <w:rPr>
          <w:rFonts w:cs="Arial"/>
          <w:szCs w:val="24"/>
        </w:rPr>
        <w:t>Opis znaczących problemów i działań podjętych w celu ich rozwiązania został zamieszczony w pkt. 11.1</w:t>
      </w:r>
      <w:r w:rsidR="00345CDA" w:rsidRPr="00211D94">
        <w:rPr>
          <w:rFonts w:cs="Arial"/>
          <w:szCs w:val="24"/>
        </w:rPr>
        <w:t xml:space="preserve"> sprawozdania.</w:t>
      </w:r>
    </w:p>
    <w:p w14:paraId="28E0E50A" w14:textId="77777777" w:rsidR="009732B9" w:rsidRPr="00211D94" w:rsidRDefault="009732B9" w:rsidP="00F55865">
      <w:pPr>
        <w:pStyle w:val="Nagwek3"/>
        <w:spacing w:before="120" w:after="120"/>
        <w:rPr>
          <w:rFonts w:cs="Arial"/>
        </w:rPr>
      </w:pPr>
      <w:bookmarkStart w:id="64" w:name="_Toc511382677"/>
      <w:bookmarkStart w:id="65" w:name="_Toc100475831"/>
      <w:bookmarkStart w:id="66" w:name="_Toc214025257"/>
      <w:r w:rsidRPr="00211D94">
        <w:rPr>
          <w:rFonts w:cs="Arial"/>
        </w:rPr>
        <w:t>3.1.7. Oś Priorytetowa 7. Zdrowie i opieka.</w:t>
      </w:r>
      <w:bookmarkEnd w:id="64"/>
      <w:bookmarkEnd w:id="65"/>
      <w:bookmarkEnd w:id="66"/>
    </w:p>
    <w:p w14:paraId="477A1CBE"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5639D98D" w14:textId="5532CA5F"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w:t>
      </w:r>
      <w:r w:rsidR="000C0E2C" w:rsidRPr="00211D94">
        <w:rPr>
          <w:rFonts w:cs="Arial"/>
          <w:szCs w:val="24"/>
        </w:rPr>
        <w:t>45</w:t>
      </w:r>
      <w:r w:rsidRPr="00211D94">
        <w:rPr>
          <w:rFonts w:cs="Arial"/>
          <w:szCs w:val="24"/>
        </w:rPr>
        <w:t xml:space="preserve"> </w:t>
      </w:r>
      <w:proofErr w:type="spellStart"/>
      <w:r w:rsidRPr="00211D94">
        <w:rPr>
          <w:rFonts w:cs="Arial"/>
          <w:szCs w:val="24"/>
        </w:rPr>
        <w:t>UoD-dof.UE</w:t>
      </w:r>
      <w:proofErr w:type="spellEnd"/>
      <w:r w:rsidRPr="00211D94">
        <w:rPr>
          <w:rFonts w:cs="Arial"/>
          <w:szCs w:val="24"/>
        </w:rPr>
        <w:t xml:space="preserve"> </w:t>
      </w:r>
      <w:r w:rsidR="000C0E2C" w:rsidRPr="00211D94">
        <w:rPr>
          <w:rFonts w:cs="Arial"/>
          <w:szCs w:val="24"/>
        </w:rPr>
        <w:t xml:space="preserve">174,1 </w:t>
      </w:r>
      <w:r w:rsidRPr="00211D94">
        <w:rPr>
          <w:rFonts w:cs="Arial"/>
          <w:szCs w:val="24"/>
        </w:rPr>
        <w:t>mln EUR–</w:t>
      </w:r>
      <w:r w:rsidR="000C0E2C" w:rsidRPr="00211D94">
        <w:rPr>
          <w:rFonts w:cs="Arial"/>
          <w:szCs w:val="24"/>
        </w:rPr>
        <w:t>108,0</w:t>
      </w:r>
      <w:r w:rsidRPr="00211D94">
        <w:rPr>
          <w:rFonts w:cs="Arial"/>
          <w:szCs w:val="24"/>
        </w:rPr>
        <w:t xml:space="preserve">% alokacji, ogółem </w:t>
      </w:r>
      <w:r w:rsidR="000C0E2C" w:rsidRPr="00211D94">
        <w:rPr>
          <w:rFonts w:cs="Arial"/>
          <w:szCs w:val="24"/>
        </w:rPr>
        <w:t>253,7</w:t>
      </w:r>
      <w:r w:rsidRPr="00211D94">
        <w:rPr>
          <w:rFonts w:cs="Arial"/>
          <w:szCs w:val="24"/>
        </w:rPr>
        <w:t xml:space="preserve"> mln EUR</w:t>
      </w:r>
    </w:p>
    <w:p w14:paraId="045BD53C" w14:textId="5264B9D3"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0C0E2C" w:rsidRPr="00211D94">
        <w:rPr>
          <w:rFonts w:cs="Arial"/>
          <w:szCs w:val="24"/>
        </w:rPr>
        <w:t>174,1</w:t>
      </w:r>
      <w:r w:rsidRPr="00211D94">
        <w:rPr>
          <w:rFonts w:cs="Arial"/>
          <w:szCs w:val="24"/>
        </w:rPr>
        <w:t xml:space="preserve"> mln EUR–</w:t>
      </w:r>
      <w:r w:rsidR="000C0E2C" w:rsidRPr="00211D94">
        <w:rPr>
          <w:rFonts w:cs="Arial"/>
          <w:szCs w:val="24"/>
        </w:rPr>
        <w:t>108,0</w:t>
      </w:r>
      <w:r w:rsidRPr="00211D94">
        <w:rPr>
          <w:rFonts w:cs="Arial"/>
          <w:szCs w:val="24"/>
        </w:rPr>
        <w:t xml:space="preserve">% alokacji, ogółem </w:t>
      </w:r>
      <w:r w:rsidR="000C0E2C" w:rsidRPr="00211D94">
        <w:rPr>
          <w:rFonts w:cs="Arial"/>
          <w:szCs w:val="24"/>
        </w:rPr>
        <w:t>251,7</w:t>
      </w:r>
      <w:r w:rsidRPr="00211D94">
        <w:rPr>
          <w:rFonts w:cs="Arial"/>
          <w:szCs w:val="24"/>
        </w:rPr>
        <w:t xml:space="preserve"> mln EUR</w:t>
      </w:r>
    </w:p>
    <w:p w14:paraId="52101E8F" w14:textId="20A6A90A"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0C0E2C" w:rsidRPr="00211D94">
        <w:rPr>
          <w:rFonts w:cs="Arial"/>
          <w:szCs w:val="24"/>
        </w:rPr>
        <w:t>161,3</w:t>
      </w:r>
      <w:r w:rsidR="009732B9" w:rsidRPr="00211D94">
        <w:rPr>
          <w:rFonts w:cs="Arial"/>
          <w:szCs w:val="24"/>
        </w:rPr>
        <w:t xml:space="preserve"> mln EUR</w:t>
      </w:r>
      <w:r w:rsidR="000C0E2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0C0E2C" w:rsidRPr="00211D94">
        <w:rPr>
          <w:rFonts w:cs="Arial"/>
          <w:szCs w:val="24"/>
        </w:rPr>
        <w:t>20</w:t>
      </w:r>
      <w:r w:rsidR="006C7A2D" w:rsidRPr="00211D94">
        <w:rPr>
          <w:rFonts w:cs="Arial"/>
          <w:szCs w:val="24"/>
        </w:rPr>
        <w:t>2</w:t>
      </w:r>
      <w:r w:rsidR="000C0E2C" w:rsidRPr="00211D94">
        <w:rPr>
          <w:rFonts w:cs="Arial"/>
          <w:szCs w:val="24"/>
        </w:rPr>
        <w:t>,</w:t>
      </w:r>
      <w:r w:rsidR="006C7A2D" w:rsidRPr="00211D94">
        <w:rPr>
          <w:rFonts w:cs="Arial"/>
          <w:szCs w:val="24"/>
        </w:rPr>
        <w:t>4</w:t>
      </w:r>
      <w:r w:rsidR="009732B9" w:rsidRPr="00211D94">
        <w:rPr>
          <w:rFonts w:cs="Arial"/>
          <w:szCs w:val="24"/>
        </w:rPr>
        <w:t xml:space="preserve"> mln EUR</w:t>
      </w:r>
    </w:p>
    <w:p w14:paraId="4F7143E4" w14:textId="77777777" w:rsidR="009732B9" w:rsidRPr="00211D94" w:rsidRDefault="009732B9" w:rsidP="00F55865">
      <w:pPr>
        <w:spacing w:before="120" w:after="120"/>
        <w:rPr>
          <w:rFonts w:cs="Arial"/>
          <w:szCs w:val="24"/>
        </w:rPr>
      </w:pPr>
      <w:r w:rsidRPr="00211D94">
        <w:rPr>
          <w:rFonts w:cs="Arial"/>
          <w:szCs w:val="24"/>
        </w:rPr>
        <w:t>Charakterystyka projektów</w:t>
      </w:r>
    </w:p>
    <w:p w14:paraId="474669E7" w14:textId="674D286E" w:rsidR="009732B9" w:rsidRPr="00211D94" w:rsidRDefault="009732B9" w:rsidP="00F55865">
      <w:pPr>
        <w:numPr>
          <w:ilvl w:val="0"/>
          <w:numId w:val="6"/>
        </w:numPr>
        <w:spacing w:before="120" w:after="120"/>
        <w:ind w:left="357" w:hanging="357"/>
        <w:rPr>
          <w:rFonts w:cs="Arial"/>
          <w:szCs w:val="24"/>
        </w:rPr>
      </w:pPr>
      <w:r w:rsidRPr="00211D94">
        <w:rPr>
          <w:rFonts w:cs="Arial"/>
          <w:szCs w:val="24"/>
        </w:rPr>
        <w:t>Przedsiębiorcy (5</w:t>
      </w:r>
      <w:r w:rsidR="00297BC4" w:rsidRPr="00211D94">
        <w:rPr>
          <w:rFonts w:cs="Arial"/>
          <w:szCs w:val="24"/>
        </w:rPr>
        <w:t>3</w:t>
      </w:r>
      <w:r w:rsidRPr="00211D94">
        <w:rPr>
          <w:rFonts w:cs="Arial"/>
          <w:szCs w:val="24"/>
        </w:rPr>
        <w:t>,</w:t>
      </w:r>
      <w:r w:rsidR="00297BC4" w:rsidRPr="00211D94">
        <w:rPr>
          <w:rFonts w:cs="Arial"/>
          <w:szCs w:val="24"/>
        </w:rPr>
        <w:t>4</w:t>
      </w:r>
      <w:r w:rsidRPr="00211D94">
        <w:rPr>
          <w:rFonts w:cs="Arial"/>
          <w:szCs w:val="24"/>
        </w:rPr>
        <w:t>%), NGO (22,</w:t>
      </w:r>
      <w:r w:rsidR="00297BC4" w:rsidRPr="00211D94">
        <w:rPr>
          <w:rFonts w:cs="Arial"/>
          <w:szCs w:val="24"/>
        </w:rPr>
        <w:t>2</w:t>
      </w:r>
      <w:r w:rsidRPr="00211D94">
        <w:rPr>
          <w:rFonts w:cs="Arial"/>
          <w:szCs w:val="24"/>
        </w:rPr>
        <w:t>%), inne (11,</w:t>
      </w:r>
      <w:r w:rsidR="00297BC4" w:rsidRPr="00211D94">
        <w:rPr>
          <w:rFonts w:cs="Arial"/>
          <w:szCs w:val="24"/>
        </w:rPr>
        <w:t>1</w:t>
      </w:r>
      <w:r w:rsidRPr="00211D94">
        <w:rPr>
          <w:rFonts w:cs="Arial"/>
          <w:szCs w:val="24"/>
        </w:rPr>
        <w:t>%) JST (11,</w:t>
      </w:r>
      <w:r w:rsidR="00297BC4" w:rsidRPr="00211D94">
        <w:rPr>
          <w:rFonts w:cs="Arial"/>
          <w:szCs w:val="24"/>
        </w:rPr>
        <w:t>1</w:t>
      </w:r>
      <w:r w:rsidRPr="00211D94">
        <w:rPr>
          <w:rFonts w:cs="Arial"/>
          <w:szCs w:val="24"/>
        </w:rPr>
        <w:t>%), szkoły/uczelnie/jednostki naukowe (2,</w:t>
      </w:r>
      <w:r w:rsidR="00297BC4" w:rsidRPr="00211D94">
        <w:rPr>
          <w:rFonts w:cs="Arial"/>
          <w:szCs w:val="24"/>
        </w:rPr>
        <w:t>2</w:t>
      </w:r>
      <w:r w:rsidRPr="00211D94">
        <w:rPr>
          <w:rFonts w:cs="Arial"/>
          <w:szCs w:val="24"/>
        </w:rPr>
        <w:t xml:space="preserve">%) </w:t>
      </w:r>
    </w:p>
    <w:p w14:paraId="3751E274" w14:textId="77777777" w:rsidR="00297BC4" w:rsidRPr="00211D94" w:rsidRDefault="009732B9" w:rsidP="00F55865">
      <w:pPr>
        <w:numPr>
          <w:ilvl w:val="0"/>
          <w:numId w:val="6"/>
        </w:numPr>
        <w:spacing w:before="120" w:after="120"/>
        <w:rPr>
          <w:rFonts w:cs="Arial"/>
          <w:szCs w:val="24"/>
        </w:rPr>
      </w:pPr>
      <w:r w:rsidRPr="00211D94">
        <w:rPr>
          <w:rFonts w:cs="Arial"/>
          <w:szCs w:val="24"/>
        </w:rPr>
        <w:t xml:space="preserve">Główne rodzaje dział. gosp.: opieka zdrowotna, </w:t>
      </w:r>
      <w:r w:rsidR="00297BC4" w:rsidRPr="00211D94">
        <w:rPr>
          <w:rFonts w:cs="Arial"/>
          <w:szCs w:val="24"/>
        </w:rPr>
        <w:t>działalność w zakresie opieki społecznej, usługi komunalne, społeczne i indywidualne</w:t>
      </w:r>
    </w:p>
    <w:p w14:paraId="51975C5C" w14:textId="14771449" w:rsidR="009732B9" w:rsidRPr="00211D94" w:rsidRDefault="009732B9" w:rsidP="00F55865">
      <w:pPr>
        <w:numPr>
          <w:ilvl w:val="0"/>
          <w:numId w:val="6"/>
        </w:numPr>
        <w:spacing w:before="120" w:after="120"/>
        <w:rPr>
          <w:rFonts w:cs="Arial"/>
          <w:szCs w:val="24"/>
        </w:rPr>
      </w:pPr>
      <w:r w:rsidRPr="00211D94">
        <w:rPr>
          <w:rFonts w:cs="Arial"/>
          <w:szCs w:val="24"/>
        </w:rPr>
        <w:t>Główne PKD Beneficjentów: 86.10.Z, 86.21.Z</w:t>
      </w:r>
    </w:p>
    <w:p w14:paraId="36BF248B" w14:textId="7FF5BC36" w:rsidR="009732B9" w:rsidRPr="00211D94" w:rsidRDefault="009230D0" w:rsidP="00F55865">
      <w:pPr>
        <w:numPr>
          <w:ilvl w:val="0"/>
          <w:numId w:val="6"/>
        </w:numPr>
        <w:spacing w:before="120" w:after="120"/>
        <w:rPr>
          <w:rFonts w:cs="Arial"/>
          <w:szCs w:val="24"/>
        </w:rPr>
      </w:pPr>
      <w:r w:rsidRPr="00211D94">
        <w:rPr>
          <w:rFonts w:cs="Arial"/>
          <w:szCs w:val="24"/>
        </w:rPr>
        <w:t>17,8</w:t>
      </w:r>
      <w:r w:rsidR="009732B9" w:rsidRPr="00211D94">
        <w:rPr>
          <w:rFonts w:cs="Arial"/>
          <w:szCs w:val="24"/>
        </w:rPr>
        <w:t>% projektów na obszarach miejskich</w:t>
      </w:r>
    </w:p>
    <w:p w14:paraId="5DE9AA48" w14:textId="3D24FB36" w:rsidR="009732B9" w:rsidRPr="00211D94" w:rsidRDefault="009732B9" w:rsidP="00F55865">
      <w:pPr>
        <w:numPr>
          <w:ilvl w:val="0"/>
          <w:numId w:val="6"/>
        </w:numPr>
        <w:spacing w:before="120" w:after="120"/>
        <w:rPr>
          <w:rFonts w:cs="Arial"/>
          <w:szCs w:val="24"/>
        </w:rPr>
      </w:pPr>
      <w:r w:rsidRPr="00211D94">
        <w:rPr>
          <w:rFonts w:cs="Arial"/>
          <w:szCs w:val="24"/>
        </w:rPr>
        <w:t>2,</w:t>
      </w:r>
      <w:r w:rsidR="009230D0" w:rsidRPr="00211D94">
        <w:rPr>
          <w:rFonts w:cs="Arial"/>
          <w:szCs w:val="24"/>
        </w:rPr>
        <w:t>2</w:t>
      </w:r>
      <w:r w:rsidRPr="00211D94">
        <w:rPr>
          <w:rFonts w:cs="Arial"/>
          <w:szCs w:val="24"/>
        </w:rPr>
        <w:t>% projektów na obszarach wiejskich</w:t>
      </w:r>
    </w:p>
    <w:p w14:paraId="6836786D" w14:textId="722329C2" w:rsidR="009732B9" w:rsidRPr="00211D94" w:rsidRDefault="009230D0" w:rsidP="00F55865">
      <w:pPr>
        <w:numPr>
          <w:ilvl w:val="0"/>
          <w:numId w:val="6"/>
        </w:numPr>
        <w:spacing w:before="120" w:after="120"/>
        <w:rPr>
          <w:rFonts w:cs="Arial"/>
          <w:szCs w:val="24"/>
        </w:rPr>
      </w:pPr>
      <w:r w:rsidRPr="00211D94">
        <w:rPr>
          <w:rFonts w:cs="Arial"/>
          <w:szCs w:val="24"/>
        </w:rPr>
        <w:t>80,0</w:t>
      </w:r>
      <w:r w:rsidR="009732B9" w:rsidRPr="00211D94">
        <w:rPr>
          <w:rFonts w:cs="Arial"/>
          <w:szCs w:val="24"/>
        </w:rPr>
        <w:t>% projektów na terenie całego województwa</w:t>
      </w:r>
    </w:p>
    <w:p w14:paraId="0CB6D97F"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ZIT-2 </w:t>
      </w:r>
      <w:proofErr w:type="spellStart"/>
      <w:r w:rsidRPr="00211D94">
        <w:rPr>
          <w:rFonts w:cs="Arial"/>
          <w:szCs w:val="24"/>
        </w:rPr>
        <w:t>UoD</w:t>
      </w:r>
      <w:proofErr w:type="spellEnd"/>
    </w:p>
    <w:p w14:paraId="5DC2A631" w14:textId="0B393542" w:rsidR="009732B9" w:rsidRPr="00211D94" w:rsidRDefault="009732B9" w:rsidP="00F55865">
      <w:pPr>
        <w:numPr>
          <w:ilvl w:val="0"/>
          <w:numId w:val="6"/>
        </w:numPr>
        <w:spacing w:before="120" w:after="120"/>
        <w:rPr>
          <w:rFonts w:cs="Arial"/>
          <w:szCs w:val="24"/>
        </w:rPr>
      </w:pPr>
      <w:r w:rsidRPr="00211D94">
        <w:rPr>
          <w:rFonts w:cs="Arial"/>
          <w:szCs w:val="24"/>
        </w:rPr>
        <w:t xml:space="preserve">W Dz. 7.3 </w:t>
      </w:r>
      <w:r w:rsidR="008C5CB8" w:rsidRPr="00211D94">
        <w:rPr>
          <w:rFonts w:cs="Arial"/>
          <w:szCs w:val="24"/>
        </w:rPr>
        <w:t>z</w:t>
      </w:r>
      <w:r w:rsidRPr="00211D94">
        <w:rPr>
          <w:rFonts w:cs="Arial"/>
          <w:szCs w:val="24"/>
        </w:rPr>
        <w:t>realizowan</w:t>
      </w:r>
      <w:r w:rsidR="008C5CB8" w:rsidRPr="00211D94">
        <w:rPr>
          <w:rFonts w:cs="Arial"/>
          <w:szCs w:val="24"/>
        </w:rPr>
        <w:t>o</w:t>
      </w:r>
      <w:r w:rsidRPr="00211D94">
        <w:rPr>
          <w:rFonts w:cs="Arial"/>
          <w:szCs w:val="24"/>
        </w:rPr>
        <w:t xml:space="preserve"> </w:t>
      </w:r>
      <w:r w:rsidR="008C5CB8" w:rsidRPr="00211D94">
        <w:rPr>
          <w:rFonts w:cs="Arial"/>
          <w:szCs w:val="24"/>
        </w:rPr>
        <w:t>10</w:t>
      </w:r>
      <w:r w:rsidRPr="00211D94">
        <w:rPr>
          <w:rFonts w:cs="Arial"/>
          <w:szCs w:val="24"/>
        </w:rPr>
        <w:t xml:space="preserve"> projekt</w:t>
      </w:r>
      <w:r w:rsidR="00816CBE" w:rsidRPr="00211D94">
        <w:rPr>
          <w:rFonts w:cs="Arial"/>
          <w:szCs w:val="24"/>
        </w:rPr>
        <w:t>ów</w:t>
      </w:r>
      <w:r w:rsidRPr="00211D94">
        <w:rPr>
          <w:rFonts w:cs="Arial"/>
          <w:szCs w:val="24"/>
        </w:rPr>
        <w:t xml:space="preserve"> zintegrowan</w:t>
      </w:r>
      <w:r w:rsidR="008C5CB8" w:rsidRPr="00211D94">
        <w:rPr>
          <w:rFonts w:cs="Arial"/>
          <w:szCs w:val="24"/>
        </w:rPr>
        <w:t>ych</w:t>
      </w:r>
      <w:r w:rsidRPr="00211D94">
        <w:rPr>
          <w:rFonts w:cs="Arial"/>
          <w:szCs w:val="24"/>
        </w:rPr>
        <w:t xml:space="preserve"> z projektami w OP6 w zakresie rozwoju usług społecznych.</w:t>
      </w:r>
    </w:p>
    <w:p w14:paraId="0F6E8377" w14:textId="557DEE2D" w:rsidR="009732B9" w:rsidRPr="00211D94" w:rsidRDefault="009732B9" w:rsidP="00F55865">
      <w:pPr>
        <w:spacing w:before="120" w:after="120"/>
        <w:rPr>
          <w:rFonts w:cs="Arial"/>
          <w:szCs w:val="24"/>
        </w:rPr>
      </w:pPr>
      <w:r w:rsidRPr="00211D94">
        <w:rPr>
          <w:rFonts w:cs="Arial"/>
          <w:szCs w:val="24"/>
        </w:rPr>
        <w:t xml:space="preserve">Ramy wykonania </w:t>
      </w:r>
    </w:p>
    <w:p w14:paraId="5B271501" w14:textId="7FEBFFCC"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1DB621A8" w14:textId="35B3EF8B" w:rsidR="009732B9" w:rsidRPr="00211D94" w:rsidRDefault="009732B9" w:rsidP="00F55865">
      <w:pPr>
        <w:numPr>
          <w:ilvl w:val="0"/>
          <w:numId w:val="2"/>
        </w:numPr>
        <w:spacing w:before="120" w:after="120"/>
        <w:ind w:left="284" w:hanging="284"/>
        <w:rPr>
          <w:rFonts w:cs="Arial"/>
          <w:szCs w:val="24"/>
        </w:rPr>
      </w:pPr>
      <w:r w:rsidRPr="00211D94">
        <w:rPr>
          <w:rFonts w:cs="Arial"/>
          <w:szCs w:val="24"/>
        </w:rPr>
        <w:t xml:space="preserve">Liczba wspartych podmiotów leczniczych – </w:t>
      </w:r>
      <w:r w:rsidR="009132D9" w:rsidRPr="00211D94">
        <w:rPr>
          <w:rFonts w:cs="Arial"/>
          <w:szCs w:val="24"/>
        </w:rPr>
        <w:t>107,5</w:t>
      </w:r>
      <w:r w:rsidRPr="00211D94">
        <w:rPr>
          <w:rFonts w:cs="Arial"/>
          <w:szCs w:val="24"/>
        </w:rPr>
        <w:t>% wartości docelowej na 2023r.</w:t>
      </w:r>
    </w:p>
    <w:p w14:paraId="6F35F110" w14:textId="0127006F"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Całkowita kwota certyfikowanych wydatków kwalifikowalnych – </w:t>
      </w:r>
      <w:r w:rsidR="009132D9" w:rsidRPr="00211D94">
        <w:rPr>
          <w:rFonts w:cs="Arial"/>
          <w:szCs w:val="24"/>
        </w:rPr>
        <w:t>107,5</w:t>
      </w:r>
      <w:r w:rsidRPr="00211D94">
        <w:rPr>
          <w:rFonts w:cs="Arial"/>
          <w:szCs w:val="24"/>
        </w:rPr>
        <w:t>% wartości docelowej na 2023r.</w:t>
      </w:r>
    </w:p>
    <w:p w14:paraId="44D00524" w14:textId="57680624" w:rsidR="009732B9" w:rsidRPr="00211D94" w:rsidRDefault="0079763C" w:rsidP="00F55865">
      <w:pPr>
        <w:spacing w:before="120" w:after="120"/>
        <w:rPr>
          <w:rFonts w:cs="Arial"/>
          <w:szCs w:val="24"/>
        </w:rPr>
      </w:pPr>
      <w:r w:rsidRPr="00211D94">
        <w:rPr>
          <w:rFonts w:cs="Arial"/>
          <w:szCs w:val="24"/>
        </w:rPr>
        <w:t>Postęp rzeczowy został przedstawiony w tabelach 3A, 5 oraz w pkt. 11.1. sprawozdania.</w:t>
      </w:r>
      <w:bookmarkStart w:id="67" w:name="_Toc511382678"/>
    </w:p>
    <w:p w14:paraId="7B62099F" w14:textId="77777777" w:rsidR="009732B9" w:rsidRPr="00211D94" w:rsidRDefault="009732B9" w:rsidP="00F55865">
      <w:pPr>
        <w:pStyle w:val="Nagwek3"/>
        <w:spacing w:before="120" w:after="120"/>
        <w:rPr>
          <w:rFonts w:cs="Arial"/>
        </w:rPr>
      </w:pPr>
      <w:bookmarkStart w:id="68" w:name="_Toc100475832"/>
      <w:bookmarkStart w:id="69" w:name="_Toc214025258"/>
      <w:r w:rsidRPr="00211D94">
        <w:rPr>
          <w:rFonts w:cs="Arial"/>
        </w:rPr>
        <w:t>3.1.8. Oś Priorytetowa 8. Konwersja.</w:t>
      </w:r>
      <w:bookmarkEnd w:id="67"/>
      <w:bookmarkEnd w:id="68"/>
      <w:bookmarkEnd w:id="69"/>
    </w:p>
    <w:p w14:paraId="29FC479A"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7032D54E" w14:textId="77FBB15F"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105 </w:t>
      </w:r>
      <w:proofErr w:type="spellStart"/>
      <w:r w:rsidRPr="00211D94">
        <w:rPr>
          <w:rFonts w:cs="Arial"/>
          <w:szCs w:val="24"/>
        </w:rPr>
        <w:t>UoD-dof.UE</w:t>
      </w:r>
      <w:proofErr w:type="spellEnd"/>
      <w:r w:rsidRPr="00211D94">
        <w:rPr>
          <w:rFonts w:cs="Arial"/>
          <w:szCs w:val="24"/>
        </w:rPr>
        <w:t xml:space="preserve"> </w:t>
      </w:r>
      <w:r w:rsidR="00E44E6C" w:rsidRPr="00211D94">
        <w:rPr>
          <w:rFonts w:cs="Arial"/>
          <w:szCs w:val="24"/>
        </w:rPr>
        <w:t>173,3</w:t>
      </w:r>
      <w:r w:rsidRPr="00211D94">
        <w:rPr>
          <w:rFonts w:cs="Arial"/>
          <w:szCs w:val="24"/>
        </w:rPr>
        <w:t xml:space="preserve"> mln EUR–</w:t>
      </w:r>
      <w:r w:rsidR="00E44E6C" w:rsidRPr="00211D94">
        <w:rPr>
          <w:rFonts w:cs="Arial"/>
          <w:szCs w:val="24"/>
        </w:rPr>
        <w:t>108,6</w:t>
      </w:r>
      <w:r w:rsidRPr="00211D94">
        <w:rPr>
          <w:rFonts w:cs="Arial"/>
          <w:szCs w:val="24"/>
        </w:rPr>
        <w:t xml:space="preserve">% alokacji, ogółem </w:t>
      </w:r>
      <w:r w:rsidR="00E44E6C" w:rsidRPr="00211D94">
        <w:rPr>
          <w:rFonts w:cs="Arial"/>
          <w:szCs w:val="24"/>
        </w:rPr>
        <w:t>309,4</w:t>
      </w:r>
      <w:r w:rsidRPr="00211D94">
        <w:rPr>
          <w:rFonts w:cs="Arial"/>
          <w:szCs w:val="24"/>
        </w:rPr>
        <w:t xml:space="preserve"> mln EUR</w:t>
      </w:r>
    </w:p>
    <w:p w14:paraId="692DF4B0" w14:textId="24445426"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E44E6C" w:rsidRPr="00211D94">
        <w:rPr>
          <w:rFonts w:cs="Arial"/>
          <w:szCs w:val="24"/>
        </w:rPr>
        <w:t>173,3</w:t>
      </w:r>
      <w:r w:rsidRPr="00211D94">
        <w:rPr>
          <w:rFonts w:cs="Arial"/>
          <w:szCs w:val="24"/>
        </w:rPr>
        <w:t xml:space="preserve"> mln EUR–</w:t>
      </w:r>
      <w:r w:rsidR="00E44E6C" w:rsidRPr="00211D94">
        <w:rPr>
          <w:rFonts w:cs="Arial"/>
          <w:szCs w:val="24"/>
        </w:rPr>
        <w:t>108,6</w:t>
      </w:r>
      <w:r w:rsidRPr="00211D94">
        <w:rPr>
          <w:rFonts w:cs="Arial"/>
          <w:szCs w:val="24"/>
        </w:rPr>
        <w:t xml:space="preserve">% alokacji, ogółem </w:t>
      </w:r>
      <w:r w:rsidR="00E44E6C" w:rsidRPr="00211D94">
        <w:rPr>
          <w:rFonts w:cs="Arial"/>
          <w:szCs w:val="24"/>
        </w:rPr>
        <w:t>312,7</w:t>
      </w:r>
      <w:r w:rsidRPr="00211D94">
        <w:rPr>
          <w:rFonts w:cs="Arial"/>
          <w:szCs w:val="24"/>
        </w:rPr>
        <w:t xml:space="preserve"> mln EUR</w:t>
      </w:r>
    </w:p>
    <w:p w14:paraId="2310FEBF" w14:textId="51064959"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D93FA5" w:rsidRPr="00211D94">
        <w:rPr>
          <w:rFonts w:cs="Arial"/>
          <w:szCs w:val="24"/>
        </w:rPr>
        <w:t xml:space="preserve"> kwotę </w:t>
      </w:r>
      <w:proofErr w:type="spellStart"/>
      <w:r w:rsidR="00D93FA5" w:rsidRPr="00211D94">
        <w:rPr>
          <w:rFonts w:cs="Arial"/>
          <w:szCs w:val="24"/>
        </w:rPr>
        <w:t>dof.UE</w:t>
      </w:r>
      <w:proofErr w:type="spellEnd"/>
      <w:r w:rsidR="00D93FA5" w:rsidRPr="00211D94">
        <w:rPr>
          <w:rFonts w:cs="Arial"/>
          <w:szCs w:val="24"/>
        </w:rPr>
        <w:t xml:space="preserve"> </w:t>
      </w:r>
      <w:r w:rsidR="00E44E6C" w:rsidRPr="00211D94">
        <w:rPr>
          <w:rFonts w:cs="Arial"/>
          <w:szCs w:val="24"/>
        </w:rPr>
        <w:t>159,6</w:t>
      </w:r>
      <w:r w:rsidR="009732B9" w:rsidRPr="00211D94">
        <w:rPr>
          <w:rFonts w:cs="Arial"/>
          <w:szCs w:val="24"/>
        </w:rPr>
        <w:t xml:space="preserve"> mln EUR–</w:t>
      </w:r>
      <w:r w:rsidR="00E44E6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6C7A2D" w:rsidRPr="00211D94">
        <w:rPr>
          <w:rFonts w:cs="Arial"/>
          <w:szCs w:val="24"/>
        </w:rPr>
        <w:t>248,5</w:t>
      </w:r>
      <w:r w:rsidR="009732B9" w:rsidRPr="00211D94">
        <w:rPr>
          <w:rFonts w:cs="Arial"/>
          <w:szCs w:val="24"/>
        </w:rPr>
        <w:t xml:space="preserve"> mln EUR</w:t>
      </w:r>
    </w:p>
    <w:p w14:paraId="5E09B40F" w14:textId="77777777" w:rsidR="009732B9" w:rsidRPr="00211D94" w:rsidRDefault="009732B9" w:rsidP="00F55865">
      <w:pPr>
        <w:spacing w:before="120" w:after="120"/>
        <w:rPr>
          <w:rFonts w:cs="Arial"/>
          <w:szCs w:val="24"/>
        </w:rPr>
      </w:pPr>
      <w:r w:rsidRPr="00211D94">
        <w:rPr>
          <w:rFonts w:cs="Arial"/>
          <w:szCs w:val="24"/>
        </w:rPr>
        <w:t>Charakterystyka projektów</w:t>
      </w:r>
    </w:p>
    <w:p w14:paraId="354D9903"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(89,5%), NGO (4,8%), przedsiębiorstwa (2,9%), inne (1,9%), jednostki administracji rządowej (0,9%)</w:t>
      </w:r>
    </w:p>
    <w:p w14:paraId="7CF3E1B3" w14:textId="77777777" w:rsidR="009732B9" w:rsidRPr="00211D94" w:rsidRDefault="009732B9" w:rsidP="00F55865">
      <w:pPr>
        <w:numPr>
          <w:ilvl w:val="0"/>
          <w:numId w:val="6"/>
        </w:numPr>
        <w:spacing w:before="120" w:after="120"/>
        <w:rPr>
          <w:rFonts w:cs="Arial"/>
          <w:szCs w:val="24"/>
        </w:rPr>
      </w:pPr>
      <w:r w:rsidRPr="00211D94">
        <w:rPr>
          <w:rFonts w:cs="Arial"/>
          <w:szCs w:val="24"/>
        </w:rPr>
        <w:t>Główne rodzaje dział. gosp.: turystyka oraz działalność związana z zakwaterowaniem i usługami gastronomicznymi</w:t>
      </w:r>
    </w:p>
    <w:p w14:paraId="33269986"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84.11.Z, 77.21.Z</w:t>
      </w:r>
    </w:p>
    <w:p w14:paraId="6ADC6924" w14:textId="77777777" w:rsidR="009732B9" w:rsidRPr="00211D94" w:rsidRDefault="009732B9" w:rsidP="00F55865">
      <w:pPr>
        <w:numPr>
          <w:ilvl w:val="0"/>
          <w:numId w:val="6"/>
        </w:numPr>
        <w:spacing w:before="120" w:after="120"/>
        <w:rPr>
          <w:rFonts w:cs="Arial"/>
          <w:szCs w:val="24"/>
        </w:rPr>
      </w:pPr>
      <w:r w:rsidRPr="00211D94">
        <w:rPr>
          <w:rFonts w:cs="Arial"/>
          <w:szCs w:val="24"/>
        </w:rPr>
        <w:t>68,6% projektów na obszarach miejskich</w:t>
      </w:r>
    </w:p>
    <w:p w14:paraId="24BA8483" w14:textId="77777777" w:rsidR="009732B9" w:rsidRPr="00211D94" w:rsidRDefault="009732B9" w:rsidP="00F55865">
      <w:pPr>
        <w:numPr>
          <w:ilvl w:val="0"/>
          <w:numId w:val="6"/>
        </w:numPr>
        <w:spacing w:before="120" w:after="120"/>
        <w:rPr>
          <w:rFonts w:cs="Arial"/>
          <w:szCs w:val="24"/>
        </w:rPr>
      </w:pPr>
      <w:r w:rsidRPr="00211D94">
        <w:rPr>
          <w:rFonts w:cs="Arial"/>
          <w:szCs w:val="24"/>
        </w:rPr>
        <w:t>31,4% projektów na obszarach wiejskich</w:t>
      </w:r>
    </w:p>
    <w:p w14:paraId="227A67F0"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ZIT-13 </w:t>
      </w:r>
      <w:proofErr w:type="spellStart"/>
      <w:r w:rsidRPr="00211D94">
        <w:rPr>
          <w:rFonts w:cs="Arial"/>
          <w:szCs w:val="24"/>
        </w:rPr>
        <w:t>UoD</w:t>
      </w:r>
      <w:proofErr w:type="spellEnd"/>
    </w:p>
    <w:p w14:paraId="4CF22D91" w14:textId="6F31A18B" w:rsidR="009732B9" w:rsidRPr="00211D94" w:rsidRDefault="009732B9" w:rsidP="00F55865">
      <w:pPr>
        <w:numPr>
          <w:ilvl w:val="0"/>
          <w:numId w:val="6"/>
        </w:numPr>
        <w:spacing w:before="120" w:after="120"/>
        <w:rPr>
          <w:rFonts w:cs="Arial"/>
          <w:szCs w:val="24"/>
        </w:rPr>
      </w:pPr>
      <w:r w:rsidRPr="00211D94">
        <w:rPr>
          <w:rFonts w:cs="Arial"/>
          <w:szCs w:val="24"/>
        </w:rPr>
        <w:t xml:space="preserve">W Dz. 8.1 </w:t>
      </w:r>
      <w:r w:rsidR="008C5CB8" w:rsidRPr="00211D94">
        <w:rPr>
          <w:rFonts w:cs="Arial"/>
          <w:szCs w:val="24"/>
        </w:rPr>
        <w:t>z</w:t>
      </w:r>
      <w:r w:rsidRPr="00211D94">
        <w:rPr>
          <w:rFonts w:cs="Arial"/>
          <w:szCs w:val="24"/>
        </w:rPr>
        <w:t>realizowan</w:t>
      </w:r>
      <w:r w:rsidR="008C5CB8" w:rsidRPr="00211D94">
        <w:rPr>
          <w:rFonts w:cs="Arial"/>
          <w:szCs w:val="24"/>
        </w:rPr>
        <w:t>e zostały 32</w:t>
      </w:r>
      <w:r w:rsidRPr="00211D94">
        <w:rPr>
          <w:rFonts w:cs="Arial"/>
          <w:szCs w:val="24"/>
        </w:rPr>
        <w:t xml:space="preserve"> projekt</w:t>
      </w:r>
      <w:r w:rsidR="008C5CB8" w:rsidRPr="00211D94">
        <w:rPr>
          <w:rFonts w:cs="Arial"/>
          <w:szCs w:val="24"/>
        </w:rPr>
        <w:t>y</w:t>
      </w:r>
      <w:r w:rsidRPr="00211D94">
        <w:rPr>
          <w:rFonts w:cs="Arial"/>
          <w:szCs w:val="24"/>
        </w:rPr>
        <w:t xml:space="preserve"> zintegrowan</w:t>
      </w:r>
      <w:r w:rsidR="008C5CB8" w:rsidRPr="00211D94">
        <w:rPr>
          <w:rFonts w:cs="Arial"/>
          <w:szCs w:val="24"/>
        </w:rPr>
        <w:t>e</w:t>
      </w:r>
      <w:r w:rsidRPr="00211D94">
        <w:rPr>
          <w:rFonts w:cs="Arial"/>
          <w:szCs w:val="24"/>
        </w:rPr>
        <w:t xml:space="preserve"> z projektami w OP6 dotyczące kompleksowych przedsięwzięć rewitalizacyjnych w miastach. </w:t>
      </w:r>
    </w:p>
    <w:p w14:paraId="01CAE32E" w14:textId="1BC12308" w:rsidR="009732B9" w:rsidRPr="00211D94" w:rsidRDefault="009732B9" w:rsidP="00F55865">
      <w:pPr>
        <w:spacing w:before="120" w:after="120"/>
        <w:rPr>
          <w:rFonts w:cs="Arial"/>
          <w:szCs w:val="24"/>
        </w:rPr>
      </w:pPr>
      <w:r w:rsidRPr="00211D94">
        <w:rPr>
          <w:rFonts w:cs="Arial"/>
          <w:szCs w:val="24"/>
        </w:rPr>
        <w:t>Ramy wykonania</w:t>
      </w:r>
    </w:p>
    <w:p w14:paraId="5B69AF5D" w14:textId="09830F2F"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5F7A0478" w14:textId="53679882"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Powierzchnia obszarów objętych rewitalizacją – </w:t>
      </w:r>
      <w:r w:rsidR="008D1837" w:rsidRPr="00211D94">
        <w:rPr>
          <w:rFonts w:cs="Arial"/>
          <w:szCs w:val="24"/>
        </w:rPr>
        <w:t>161,7</w:t>
      </w:r>
      <w:r w:rsidRPr="00211D94">
        <w:rPr>
          <w:rFonts w:cs="Arial"/>
          <w:szCs w:val="24"/>
        </w:rPr>
        <w:t xml:space="preserve">% wartości docelowej na 2023r. </w:t>
      </w:r>
    </w:p>
    <w:p w14:paraId="670A689A" w14:textId="1F3405C1"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wskaźnik finansowy – </w:t>
      </w:r>
      <w:r w:rsidR="008D1837" w:rsidRPr="00211D94">
        <w:rPr>
          <w:rFonts w:cs="Arial"/>
          <w:szCs w:val="24"/>
        </w:rPr>
        <w:t>135,0</w:t>
      </w:r>
      <w:r w:rsidRPr="00211D94">
        <w:rPr>
          <w:rFonts w:cs="Arial"/>
          <w:szCs w:val="24"/>
        </w:rPr>
        <w:t>% wartości docelowej na 2023r.</w:t>
      </w:r>
    </w:p>
    <w:p w14:paraId="155BDA34" w14:textId="51BFE6AB" w:rsidR="009732B9" w:rsidRPr="00211D94" w:rsidRDefault="0079763C" w:rsidP="00F55865">
      <w:pPr>
        <w:spacing w:before="120" w:after="120"/>
        <w:rPr>
          <w:rFonts w:cs="Arial"/>
          <w:szCs w:val="24"/>
        </w:rPr>
      </w:pPr>
      <w:r w:rsidRPr="00211D94">
        <w:rPr>
          <w:rFonts w:cs="Arial"/>
          <w:szCs w:val="24"/>
        </w:rPr>
        <w:t>Postęp rzeczowy został przedstawiony w tabelach 3A, 5 oraz w pkt. 11.1. sprawozdania.</w:t>
      </w:r>
    </w:p>
    <w:p w14:paraId="7FCEB2D6" w14:textId="77777777" w:rsidR="009732B9" w:rsidRPr="00211D94" w:rsidRDefault="009732B9" w:rsidP="00F55865">
      <w:pPr>
        <w:pStyle w:val="Nagwek3"/>
        <w:spacing w:before="120" w:after="120"/>
        <w:rPr>
          <w:rFonts w:cs="Arial"/>
        </w:rPr>
      </w:pPr>
      <w:bookmarkStart w:id="70" w:name="_Toc43272733"/>
      <w:bookmarkStart w:id="71" w:name="_Toc43272796"/>
      <w:bookmarkStart w:id="72" w:name="_Toc43272857"/>
      <w:bookmarkStart w:id="73" w:name="_Toc70580934"/>
      <w:bookmarkStart w:id="74" w:name="_Toc70589014"/>
      <w:bookmarkStart w:id="75" w:name="_Toc70589106"/>
      <w:bookmarkStart w:id="76" w:name="_Toc511382679"/>
      <w:bookmarkStart w:id="77" w:name="_Toc100475833"/>
      <w:bookmarkStart w:id="78" w:name="_Toc214025259"/>
      <w:bookmarkEnd w:id="70"/>
      <w:bookmarkEnd w:id="71"/>
      <w:bookmarkEnd w:id="72"/>
      <w:bookmarkEnd w:id="73"/>
      <w:bookmarkEnd w:id="74"/>
      <w:bookmarkEnd w:id="75"/>
      <w:r w:rsidRPr="00211D94">
        <w:rPr>
          <w:rFonts w:cs="Arial"/>
        </w:rPr>
        <w:t>3.1.9. Oś Priorytetowa 9. Mobilność.</w:t>
      </w:r>
      <w:bookmarkEnd w:id="76"/>
      <w:bookmarkEnd w:id="77"/>
      <w:bookmarkEnd w:id="78"/>
    </w:p>
    <w:p w14:paraId="747BA557"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5BEF122F" w14:textId="43F01146"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48 </w:t>
      </w:r>
      <w:proofErr w:type="spellStart"/>
      <w:r w:rsidRPr="00211D94">
        <w:rPr>
          <w:rFonts w:cs="Arial"/>
          <w:szCs w:val="24"/>
        </w:rPr>
        <w:t>UoD-dof.UE</w:t>
      </w:r>
      <w:proofErr w:type="spellEnd"/>
      <w:r w:rsidRPr="00211D94">
        <w:rPr>
          <w:rFonts w:cs="Arial"/>
          <w:szCs w:val="24"/>
        </w:rPr>
        <w:t xml:space="preserve"> </w:t>
      </w:r>
      <w:r w:rsidR="00E44E6C" w:rsidRPr="00211D94">
        <w:rPr>
          <w:rFonts w:cs="Arial"/>
          <w:szCs w:val="24"/>
        </w:rPr>
        <w:t>378,6</w:t>
      </w:r>
      <w:r w:rsidRPr="00211D94">
        <w:rPr>
          <w:rFonts w:cs="Arial"/>
          <w:szCs w:val="24"/>
        </w:rPr>
        <w:t xml:space="preserve"> mln EUR–</w:t>
      </w:r>
      <w:r w:rsidR="00E44E6C" w:rsidRPr="00211D94">
        <w:rPr>
          <w:rFonts w:cs="Arial"/>
          <w:szCs w:val="24"/>
        </w:rPr>
        <w:t>102,4</w:t>
      </w:r>
      <w:r w:rsidRPr="00211D94">
        <w:rPr>
          <w:rFonts w:cs="Arial"/>
          <w:szCs w:val="24"/>
        </w:rPr>
        <w:t xml:space="preserve">% alokacji, ogółem </w:t>
      </w:r>
      <w:r w:rsidR="00E44E6C" w:rsidRPr="00211D94">
        <w:rPr>
          <w:rFonts w:cs="Arial"/>
          <w:szCs w:val="24"/>
        </w:rPr>
        <w:t>599,2</w:t>
      </w:r>
      <w:r w:rsidRPr="00211D94">
        <w:rPr>
          <w:rFonts w:cs="Arial"/>
          <w:szCs w:val="24"/>
        </w:rPr>
        <w:t xml:space="preserve"> mln EUR</w:t>
      </w:r>
    </w:p>
    <w:p w14:paraId="7D998A69" w14:textId="43ABE18E"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E44E6C" w:rsidRPr="00211D94">
        <w:rPr>
          <w:rFonts w:cs="Arial"/>
          <w:szCs w:val="24"/>
        </w:rPr>
        <w:t>378,6</w:t>
      </w:r>
      <w:r w:rsidRPr="00211D94">
        <w:rPr>
          <w:rFonts w:cs="Arial"/>
          <w:szCs w:val="24"/>
        </w:rPr>
        <w:t xml:space="preserve"> mln EUR–</w:t>
      </w:r>
      <w:r w:rsidR="00E44E6C" w:rsidRPr="00211D94">
        <w:rPr>
          <w:rFonts w:cs="Arial"/>
          <w:szCs w:val="24"/>
        </w:rPr>
        <w:t>102,4</w:t>
      </w:r>
      <w:r w:rsidRPr="00211D94">
        <w:rPr>
          <w:rFonts w:cs="Arial"/>
          <w:szCs w:val="24"/>
        </w:rPr>
        <w:t xml:space="preserve">% alokacji, ogółem </w:t>
      </w:r>
      <w:r w:rsidR="00E44E6C" w:rsidRPr="00211D94">
        <w:rPr>
          <w:rFonts w:cs="Arial"/>
          <w:szCs w:val="24"/>
        </w:rPr>
        <w:t>573,8</w:t>
      </w:r>
      <w:r w:rsidRPr="00211D94">
        <w:rPr>
          <w:rFonts w:cs="Arial"/>
          <w:szCs w:val="24"/>
        </w:rPr>
        <w:t xml:space="preserve"> mln EUR</w:t>
      </w:r>
    </w:p>
    <w:p w14:paraId="065FC939" w14:textId="23BA8829"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E44E6C" w:rsidRPr="00211D94">
        <w:rPr>
          <w:rFonts w:cs="Arial"/>
          <w:szCs w:val="24"/>
        </w:rPr>
        <w:t>369,9</w:t>
      </w:r>
      <w:r w:rsidR="009732B9" w:rsidRPr="00211D94">
        <w:rPr>
          <w:rFonts w:cs="Arial"/>
          <w:szCs w:val="24"/>
        </w:rPr>
        <w:t xml:space="preserve"> mln EUR–</w:t>
      </w:r>
      <w:r w:rsidR="00E44E6C"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6C7A2D" w:rsidRPr="00211D94">
        <w:rPr>
          <w:rFonts w:cs="Arial"/>
          <w:szCs w:val="24"/>
        </w:rPr>
        <w:t>457,8</w:t>
      </w:r>
      <w:r w:rsidR="009732B9" w:rsidRPr="00211D94">
        <w:rPr>
          <w:rFonts w:cs="Arial"/>
          <w:szCs w:val="24"/>
        </w:rPr>
        <w:t xml:space="preserve"> mln EUR</w:t>
      </w:r>
    </w:p>
    <w:p w14:paraId="23B7328D" w14:textId="77777777" w:rsidR="009732B9" w:rsidRPr="00211D94" w:rsidRDefault="009732B9" w:rsidP="00F55865">
      <w:pPr>
        <w:spacing w:before="120" w:after="120"/>
        <w:rPr>
          <w:rFonts w:cs="Arial"/>
          <w:szCs w:val="24"/>
        </w:rPr>
      </w:pPr>
      <w:r w:rsidRPr="00211D94">
        <w:rPr>
          <w:rFonts w:cs="Arial"/>
          <w:szCs w:val="24"/>
        </w:rPr>
        <w:t>Charakterystyka projektów</w:t>
      </w:r>
    </w:p>
    <w:p w14:paraId="461B1075"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(79,2%), przedsiębiorcy (16,6%), NGO (2,1%), inne (2,1%)</w:t>
      </w:r>
    </w:p>
    <w:p w14:paraId="17532C0D" w14:textId="77777777" w:rsidR="009732B9" w:rsidRPr="00211D94" w:rsidRDefault="009732B9" w:rsidP="00F55865">
      <w:pPr>
        <w:numPr>
          <w:ilvl w:val="0"/>
          <w:numId w:val="6"/>
        </w:numPr>
        <w:spacing w:before="120" w:after="120"/>
        <w:ind w:left="357" w:hanging="357"/>
        <w:rPr>
          <w:rFonts w:cs="Arial"/>
          <w:szCs w:val="24"/>
        </w:rPr>
      </w:pPr>
      <w:r w:rsidRPr="00211D94">
        <w:rPr>
          <w:rFonts w:cs="Arial"/>
          <w:szCs w:val="24"/>
        </w:rPr>
        <w:t>Główne rodzaje dział. gosp.: transport i składowanie, administracja publiczna</w:t>
      </w:r>
    </w:p>
    <w:p w14:paraId="6CCDB680"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84.11.Z, 49.31.Z</w:t>
      </w:r>
    </w:p>
    <w:p w14:paraId="2ADF4D27" w14:textId="77777777" w:rsidR="009732B9" w:rsidRPr="00211D94" w:rsidRDefault="009732B9" w:rsidP="00F55865">
      <w:pPr>
        <w:numPr>
          <w:ilvl w:val="0"/>
          <w:numId w:val="6"/>
        </w:numPr>
        <w:spacing w:before="120" w:after="120"/>
        <w:rPr>
          <w:rFonts w:cs="Arial"/>
          <w:szCs w:val="24"/>
        </w:rPr>
      </w:pPr>
      <w:r w:rsidRPr="00211D94">
        <w:rPr>
          <w:rFonts w:cs="Arial"/>
          <w:szCs w:val="24"/>
        </w:rPr>
        <w:t>70,8% projektów na obszarach miejskich</w:t>
      </w:r>
    </w:p>
    <w:p w14:paraId="539FA65C" w14:textId="77777777" w:rsidR="009732B9" w:rsidRPr="00211D94" w:rsidRDefault="009732B9" w:rsidP="00F55865">
      <w:pPr>
        <w:numPr>
          <w:ilvl w:val="0"/>
          <w:numId w:val="6"/>
        </w:numPr>
        <w:spacing w:before="120" w:after="120"/>
        <w:rPr>
          <w:rFonts w:cs="Arial"/>
          <w:szCs w:val="24"/>
        </w:rPr>
      </w:pPr>
      <w:r w:rsidRPr="00211D94">
        <w:rPr>
          <w:rFonts w:cs="Arial"/>
          <w:szCs w:val="24"/>
        </w:rPr>
        <w:t>29,2% projektów na obszarach wiejskich</w:t>
      </w:r>
    </w:p>
    <w:p w14:paraId="2EBE056B"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ZIT-19 </w:t>
      </w:r>
      <w:proofErr w:type="spellStart"/>
      <w:r w:rsidRPr="00211D94">
        <w:rPr>
          <w:rFonts w:cs="Arial"/>
          <w:szCs w:val="24"/>
        </w:rPr>
        <w:t>UoD</w:t>
      </w:r>
      <w:proofErr w:type="spellEnd"/>
    </w:p>
    <w:p w14:paraId="4AE2A639" w14:textId="03EA2DBC" w:rsidR="009732B9" w:rsidRPr="00211D94" w:rsidRDefault="009732B9" w:rsidP="00F55865">
      <w:pPr>
        <w:spacing w:before="120" w:after="120"/>
        <w:rPr>
          <w:rFonts w:cs="Arial"/>
          <w:szCs w:val="24"/>
        </w:rPr>
      </w:pPr>
      <w:r w:rsidRPr="00211D94">
        <w:rPr>
          <w:rFonts w:cs="Arial"/>
          <w:szCs w:val="24"/>
        </w:rPr>
        <w:t>Ramy wykonania</w:t>
      </w:r>
    </w:p>
    <w:p w14:paraId="49E9267D" w14:textId="6A8B95FD"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740FB611" w14:textId="555D8498"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Całkowita długość przebudowanych lub zmodernizowanych dróg – </w:t>
      </w:r>
      <w:r w:rsidR="008D1837" w:rsidRPr="00211D94">
        <w:rPr>
          <w:rFonts w:cs="Arial"/>
          <w:szCs w:val="24"/>
        </w:rPr>
        <w:t>104,4</w:t>
      </w:r>
      <w:r w:rsidRPr="00211D94">
        <w:rPr>
          <w:rFonts w:cs="Arial"/>
          <w:szCs w:val="24"/>
        </w:rPr>
        <w:t>% wartości docelowej na 2023r.</w:t>
      </w:r>
    </w:p>
    <w:p w14:paraId="19C89075" w14:textId="09EC8609"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Całkowita długość przebudowanych lub zmodernizowanych linii kolejowych – </w:t>
      </w:r>
      <w:r w:rsidR="008D1837" w:rsidRPr="00211D94">
        <w:rPr>
          <w:rFonts w:cs="Arial"/>
          <w:szCs w:val="24"/>
        </w:rPr>
        <w:t>131,9</w:t>
      </w:r>
      <w:r w:rsidRPr="00211D94">
        <w:rPr>
          <w:rFonts w:cs="Arial"/>
          <w:szCs w:val="24"/>
        </w:rPr>
        <w:t>% wartości docelowej na 2023r.</w:t>
      </w:r>
    </w:p>
    <w:p w14:paraId="3E5A89BB" w14:textId="4DF2827F"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Wskaźnik finansowy – cel końcowy na 2023 r. został osiągnięty na poziomie </w:t>
      </w:r>
      <w:r w:rsidR="008D1837" w:rsidRPr="00211D94">
        <w:rPr>
          <w:rFonts w:cs="Arial"/>
          <w:szCs w:val="24"/>
        </w:rPr>
        <w:t>108,9%</w:t>
      </w:r>
    </w:p>
    <w:p w14:paraId="643C7466" w14:textId="48AAF7BF" w:rsidR="0079763C" w:rsidRPr="00211D94" w:rsidRDefault="0079763C" w:rsidP="00F55865">
      <w:pPr>
        <w:spacing w:before="120" w:after="120"/>
        <w:rPr>
          <w:rFonts w:cs="Arial"/>
          <w:szCs w:val="24"/>
        </w:rPr>
      </w:pPr>
      <w:bookmarkStart w:id="79" w:name="_Toc511382680"/>
      <w:bookmarkStart w:id="80" w:name="_Toc100475834"/>
      <w:r w:rsidRPr="00211D94">
        <w:rPr>
          <w:rFonts w:cs="Arial"/>
          <w:szCs w:val="24"/>
        </w:rPr>
        <w:t>Postęp rzeczowy został przedstawiony w tabelach 3A, 5 oraz w pkt. 11.1. sprawozdania.</w:t>
      </w:r>
    </w:p>
    <w:p w14:paraId="799A092E" w14:textId="77777777" w:rsidR="009732B9" w:rsidRPr="00211D94" w:rsidRDefault="009732B9" w:rsidP="00F55865">
      <w:pPr>
        <w:pStyle w:val="Nagwek3"/>
        <w:spacing w:before="120" w:after="120"/>
        <w:rPr>
          <w:rFonts w:cs="Arial"/>
        </w:rPr>
      </w:pPr>
      <w:bookmarkStart w:id="81" w:name="_Toc214025260"/>
      <w:r w:rsidRPr="00211D94">
        <w:rPr>
          <w:rFonts w:cs="Arial"/>
        </w:rPr>
        <w:t>3.1.10. Oś Priorytetowa 10. Energia.</w:t>
      </w:r>
      <w:bookmarkEnd w:id="79"/>
      <w:bookmarkEnd w:id="80"/>
      <w:bookmarkEnd w:id="81"/>
    </w:p>
    <w:p w14:paraId="5AA19A52"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7BA91B0A" w14:textId="1E3E160F" w:rsidR="009732B9" w:rsidRPr="00211D94" w:rsidRDefault="009732B9" w:rsidP="00F55865">
      <w:pPr>
        <w:numPr>
          <w:ilvl w:val="0"/>
          <w:numId w:val="1"/>
        </w:numPr>
        <w:spacing w:before="120" w:after="120"/>
        <w:ind w:left="284" w:hanging="283"/>
        <w:rPr>
          <w:rFonts w:cs="Arial"/>
          <w:szCs w:val="24"/>
        </w:rPr>
      </w:pPr>
      <w:r w:rsidRPr="00211D94">
        <w:rPr>
          <w:rFonts w:cs="Arial"/>
          <w:szCs w:val="24"/>
        </w:rPr>
        <w:t>podpisano 14</w:t>
      </w:r>
      <w:r w:rsidR="00E44E6C" w:rsidRPr="00211D94">
        <w:rPr>
          <w:rFonts w:cs="Arial"/>
          <w:szCs w:val="24"/>
        </w:rPr>
        <w:t>7</w:t>
      </w:r>
      <w:r w:rsidRPr="00211D94">
        <w:rPr>
          <w:rFonts w:cs="Arial"/>
          <w:szCs w:val="24"/>
        </w:rPr>
        <w:t xml:space="preserve"> </w:t>
      </w:r>
      <w:proofErr w:type="spellStart"/>
      <w:r w:rsidRPr="00211D94">
        <w:rPr>
          <w:rFonts w:cs="Arial"/>
          <w:szCs w:val="24"/>
        </w:rPr>
        <w:t>UoD-dof.UE</w:t>
      </w:r>
      <w:proofErr w:type="spellEnd"/>
      <w:r w:rsidRPr="00211D94">
        <w:rPr>
          <w:rFonts w:cs="Arial"/>
          <w:szCs w:val="24"/>
        </w:rPr>
        <w:t xml:space="preserve"> </w:t>
      </w:r>
      <w:r w:rsidR="00E44E6C" w:rsidRPr="00211D94">
        <w:rPr>
          <w:rFonts w:cs="Arial"/>
          <w:szCs w:val="24"/>
        </w:rPr>
        <w:t>232,0</w:t>
      </w:r>
      <w:r w:rsidRPr="00211D94">
        <w:rPr>
          <w:rFonts w:cs="Arial"/>
          <w:szCs w:val="24"/>
        </w:rPr>
        <w:t xml:space="preserve"> mln EUR–</w:t>
      </w:r>
      <w:r w:rsidR="00E44E6C" w:rsidRPr="00211D94">
        <w:rPr>
          <w:rFonts w:cs="Arial"/>
          <w:szCs w:val="24"/>
        </w:rPr>
        <w:t>103,8</w:t>
      </w:r>
      <w:r w:rsidRPr="00211D94">
        <w:rPr>
          <w:rFonts w:cs="Arial"/>
          <w:szCs w:val="24"/>
        </w:rPr>
        <w:t xml:space="preserve">% alokacji, ogółem </w:t>
      </w:r>
      <w:r w:rsidR="00E44E6C" w:rsidRPr="00211D94">
        <w:rPr>
          <w:rFonts w:cs="Arial"/>
          <w:szCs w:val="24"/>
        </w:rPr>
        <w:t>362,0</w:t>
      </w:r>
      <w:r w:rsidRPr="00211D94">
        <w:rPr>
          <w:rFonts w:cs="Arial"/>
          <w:szCs w:val="24"/>
        </w:rPr>
        <w:t xml:space="preserve"> mln EUR</w:t>
      </w:r>
    </w:p>
    <w:p w14:paraId="217F440C" w14:textId="60BA9144"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E44E6C" w:rsidRPr="00211D94">
        <w:rPr>
          <w:rFonts w:cs="Arial"/>
          <w:szCs w:val="24"/>
        </w:rPr>
        <w:t>231,8</w:t>
      </w:r>
      <w:r w:rsidRPr="00211D94">
        <w:rPr>
          <w:rFonts w:cs="Arial"/>
          <w:szCs w:val="24"/>
        </w:rPr>
        <w:t xml:space="preserve"> mln EUR–</w:t>
      </w:r>
      <w:r w:rsidR="00E44E6C" w:rsidRPr="00211D94">
        <w:rPr>
          <w:rFonts w:cs="Arial"/>
          <w:szCs w:val="24"/>
        </w:rPr>
        <w:t>103,7</w:t>
      </w:r>
      <w:r w:rsidRPr="00211D94">
        <w:rPr>
          <w:rFonts w:cs="Arial"/>
          <w:szCs w:val="24"/>
        </w:rPr>
        <w:t xml:space="preserve">% alokacji, ogółem </w:t>
      </w:r>
      <w:r w:rsidR="00E44E6C" w:rsidRPr="00211D94">
        <w:rPr>
          <w:rFonts w:cs="Arial"/>
          <w:szCs w:val="24"/>
        </w:rPr>
        <w:t>371,0</w:t>
      </w:r>
      <w:r w:rsidRPr="00211D94">
        <w:rPr>
          <w:rFonts w:cs="Arial"/>
          <w:szCs w:val="24"/>
        </w:rPr>
        <w:t xml:space="preserve"> mln EUR</w:t>
      </w:r>
    </w:p>
    <w:p w14:paraId="6508A2FB" w14:textId="46065DAB" w:rsidR="00C03DA4" w:rsidRPr="00211D94" w:rsidRDefault="00C03DA4" w:rsidP="00C03DA4">
      <w:pPr>
        <w:numPr>
          <w:ilvl w:val="0"/>
          <w:numId w:val="1"/>
        </w:numPr>
        <w:spacing w:before="120" w:after="120"/>
        <w:ind w:left="284" w:hanging="283"/>
        <w:rPr>
          <w:rFonts w:cs="Arial"/>
          <w:szCs w:val="24"/>
        </w:rPr>
      </w:pPr>
      <w:r w:rsidRPr="00211D94">
        <w:rPr>
          <w:rFonts w:cs="Arial"/>
          <w:szCs w:val="24"/>
        </w:rPr>
        <w:t xml:space="preserve">certyfikowano kwotę </w:t>
      </w:r>
      <w:proofErr w:type="spellStart"/>
      <w:r w:rsidRPr="00211D94">
        <w:rPr>
          <w:rFonts w:cs="Arial"/>
          <w:szCs w:val="24"/>
        </w:rPr>
        <w:t>dof.UE</w:t>
      </w:r>
      <w:proofErr w:type="spellEnd"/>
      <w:r w:rsidRPr="00211D94">
        <w:rPr>
          <w:rFonts w:cs="Arial"/>
          <w:szCs w:val="24"/>
        </w:rPr>
        <w:t xml:space="preserve"> 223,5 mln EUR–100,0% alokacji, łączna wartość wydatków kwalifikowalnych wyniosła 292,9 mln EUR</w:t>
      </w:r>
    </w:p>
    <w:p w14:paraId="180EC084" w14:textId="77777777" w:rsidR="009732B9" w:rsidRPr="00211D94" w:rsidRDefault="009732B9" w:rsidP="00F55865">
      <w:pPr>
        <w:spacing w:before="120" w:after="120"/>
        <w:rPr>
          <w:rFonts w:cs="Arial"/>
          <w:szCs w:val="24"/>
        </w:rPr>
      </w:pPr>
      <w:r w:rsidRPr="00211D94">
        <w:rPr>
          <w:rFonts w:cs="Arial"/>
          <w:szCs w:val="24"/>
        </w:rPr>
        <w:t>Charakterystyka projektów</w:t>
      </w:r>
    </w:p>
    <w:p w14:paraId="08FC427A" w14:textId="691DB544"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(7</w:t>
      </w:r>
      <w:r w:rsidR="009230D0" w:rsidRPr="00211D94">
        <w:rPr>
          <w:rFonts w:cs="Arial"/>
          <w:szCs w:val="24"/>
        </w:rPr>
        <w:t>2,8</w:t>
      </w:r>
      <w:r w:rsidRPr="00211D94">
        <w:rPr>
          <w:rFonts w:cs="Arial"/>
          <w:szCs w:val="24"/>
        </w:rPr>
        <w:t>%), przedsiębiorcy (1</w:t>
      </w:r>
      <w:r w:rsidR="009230D0" w:rsidRPr="00211D94">
        <w:rPr>
          <w:rFonts w:cs="Arial"/>
          <w:szCs w:val="24"/>
        </w:rPr>
        <w:t>7,0</w:t>
      </w:r>
      <w:r w:rsidRPr="00211D94">
        <w:rPr>
          <w:rFonts w:cs="Arial"/>
          <w:szCs w:val="24"/>
        </w:rPr>
        <w:t>%), NGO (</w:t>
      </w:r>
      <w:r w:rsidR="009230D0" w:rsidRPr="00211D94">
        <w:rPr>
          <w:rFonts w:cs="Arial"/>
          <w:szCs w:val="24"/>
        </w:rPr>
        <w:t>7,5</w:t>
      </w:r>
      <w:r w:rsidRPr="00211D94">
        <w:rPr>
          <w:rFonts w:cs="Arial"/>
          <w:szCs w:val="24"/>
        </w:rPr>
        <w:t>%), inne (2,</w:t>
      </w:r>
      <w:r w:rsidR="009230D0" w:rsidRPr="00211D94">
        <w:rPr>
          <w:rFonts w:cs="Arial"/>
          <w:szCs w:val="24"/>
        </w:rPr>
        <w:t>7</w:t>
      </w:r>
      <w:r w:rsidRPr="00211D94">
        <w:rPr>
          <w:rFonts w:cs="Arial"/>
          <w:szCs w:val="24"/>
        </w:rPr>
        <w:t xml:space="preserve">%) </w:t>
      </w:r>
    </w:p>
    <w:p w14:paraId="508EF07A" w14:textId="77777777" w:rsidR="009732B9" w:rsidRPr="00211D94" w:rsidRDefault="009732B9" w:rsidP="00F55865">
      <w:pPr>
        <w:numPr>
          <w:ilvl w:val="0"/>
          <w:numId w:val="6"/>
        </w:numPr>
        <w:spacing w:before="120" w:after="120"/>
        <w:rPr>
          <w:rFonts w:cs="Arial"/>
          <w:szCs w:val="24"/>
        </w:rPr>
      </w:pPr>
      <w:r w:rsidRPr="00211D94">
        <w:rPr>
          <w:rFonts w:cs="Arial"/>
          <w:szCs w:val="24"/>
        </w:rPr>
        <w:t>Główne rodzaje dział. gosp.: energia elektryczna, paliwa gazowe, para wodna, gorąca woda i powietrze do układów klimatyzacyjnych; administracja publiczna</w:t>
      </w:r>
    </w:p>
    <w:p w14:paraId="16AC4DF7"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84.11.Z, 86.10.Z</w:t>
      </w:r>
    </w:p>
    <w:p w14:paraId="6B37C7CE" w14:textId="08B1899A" w:rsidR="009732B9" w:rsidRPr="00211D94" w:rsidRDefault="009732B9" w:rsidP="00F55865">
      <w:pPr>
        <w:numPr>
          <w:ilvl w:val="0"/>
          <w:numId w:val="6"/>
        </w:numPr>
        <w:spacing w:before="120" w:after="120"/>
        <w:rPr>
          <w:rFonts w:cs="Arial"/>
          <w:szCs w:val="24"/>
        </w:rPr>
      </w:pPr>
      <w:r w:rsidRPr="00211D94">
        <w:rPr>
          <w:rFonts w:cs="Arial"/>
          <w:szCs w:val="24"/>
        </w:rPr>
        <w:t>60,</w:t>
      </w:r>
      <w:r w:rsidR="00A14F24" w:rsidRPr="00211D94">
        <w:rPr>
          <w:rFonts w:cs="Arial"/>
          <w:szCs w:val="24"/>
        </w:rPr>
        <w:t>5</w:t>
      </w:r>
      <w:r w:rsidRPr="00211D94">
        <w:rPr>
          <w:rFonts w:cs="Arial"/>
          <w:szCs w:val="24"/>
        </w:rPr>
        <w:t>% projektów na obszarach miejskich</w:t>
      </w:r>
    </w:p>
    <w:p w14:paraId="55F92A30" w14:textId="366A6BCE" w:rsidR="009732B9" w:rsidRPr="00211D94" w:rsidRDefault="00A14F24" w:rsidP="00F55865">
      <w:pPr>
        <w:numPr>
          <w:ilvl w:val="0"/>
          <w:numId w:val="6"/>
        </w:numPr>
        <w:spacing w:before="120" w:after="120"/>
        <w:rPr>
          <w:rFonts w:cs="Arial"/>
          <w:szCs w:val="24"/>
        </w:rPr>
      </w:pPr>
      <w:r w:rsidRPr="00211D94">
        <w:rPr>
          <w:rFonts w:cs="Arial"/>
          <w:szCs w:val="24"/>
        </w:rPr>
        <w:t>39,5</w:t>
      </w:r>
      <w:r w:rsidR="009732B9" w:rsidRPr="00211D94">
        <w:rPr>
          <w:rFonts w:cs="Arial"/>
          <w:szCs w:val="24"/>
        </w:rPr>
        <w:t>% projektów na obszarach wiejskich</w:t>
      </w:r>
    </w:p>
    <w:p w14:paraId="52D4531F" w14:textId="77777777" w:rsidR="009732B9" w:rsidRPr="00211D94" w:rsidRDefault="009732B9" w:rsidP="00F55865">
      <w:pPr>
        <w:numPr>
          <w:ilvl w:val="0"/>
          <w:numId w:val="6"/>
        </w:numPr>
        <w:spacing w:before="120" w:after="120"/>
        <w:rPr>
          <w:rFonts w:cs="Arial"/>
          <w:szCs w:val="24"/>
        </w:rPr>
      </w:pPr>
      <w:r w:rsidRPr="00211D94">
        <w:rPr>
          <w:rFonts w:cs="Arial"/>
          <w:szCs w:val="24"/>
        </w:rPr>
        <w:t xml:space="preserve">ZIT-40 </w:t>
      </w:r>
      <w:proofErr w:type="spellStart"/>
      <w:r w:rsidRPr="00211D94">
        <w:rPr>
          <w:rFonts w:cs="Arial"/>
          <w:szCs w:val="24"/>
        </w:rPr>
        <w:t>UoD</w:t>
      </w:r>
      <w:proofErr w:type="spellEnd"/>
    </w:p>
    <w:p w14:paraId="3685A461" w14:textId="08060C51" w:rsidR="009732B9" w:rsidRPr="00211D94" w:rsidRDefault="009732B9" w:rsidP="00F55865">
      <w:pPr>
        <w:spacing w:before="120" w:after="120"/>
        <w:rPr>
          <w:rFonts w:cs="Arial"/>
          <w:szCs w:val="24"/>
        </w:rPr>
      </w:pPr>
      <w:r w:rsidRPr="00211D94">
        <w:rPr>
          <w:rFonts w:cs="Arial"/>
          <w:szCs w:val="24"/>
        </w:rPr>
        <w:t>Ramy wykonania</w:t>
      </w:r>
    </w:p>
    <w:p w14:paraId="6B132723" w14:textId="2FEC6226"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3FFFE818" w14:textId="7AED732C"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Liczba zmodernizowanych energetycznie budynków – </w:t>
      </w:r>
      <w:r w:rsidR="008D1837" w:rsidRPr="00211D94">
        <w:rPr>
          <w:rFonts w:cs="Arial"/>
          <w:szCs w:val="24"/>
        </w:rPr>
        <w:t>128,2</w:t>
      </w:r>
      <w:r w:rsidRPr="00211D94">
        <w:rPr>
          <w:rFonts w:cs="Arial"/>
          <w:szCs w:val="24"/>
        </w:rPr>
        <w:t>% wartości docelowej na 2023r.</w:t>
      </w:r>
    </w:p>
    <w:p w14:paraId="5777A5CD" w14:textId="476D221F" w:rsidR="009732B9" w:rsidRPr="00211D94" w:rsidRDefault="009732B9" w:rsidP="00F55865">
      <w:pPr>
        <w:pStyle w:val="Akapitzlist"/>
        <w:numPr>
          <w:ilvl w:val="0"/>
          <w:numId w:val="38"/>
        </w:numPr>
        <w:spacing w:before="120" w:after="120" w:line="276" w:lineRule="auto"/>
        <w:contextualSpacing w:val="0"/>
        <w:rPr>
          <w:rFonts w:cs="Arial"/>
          <w:szCs w:val="24"/>
        </w:rPr>
      </w:pPr>
      <w:r w:rsidRPr="00211D94">
        <w:rPr>
          <w:rFonts w:cs="Arial"/>
          <w:szCs w:val="24"/>
        </w:rPr>
        <w:t xml:space="preserve">Wskaźnik finansowy – </w:t>
      </w:r>
      <w:r w:rsidR="008D1837" w:rsidRPr="00211D94">
        <w:rPr>
          <w:rFonts w:cs="Arial"/>
          <w:szCs w:val="24"/>
        </w:rPr>
        <w:t>119,3</w:t>
      </w:r>
      <w:r w:rsidRPr="00211D94">
        <w:rPr>
          <w:rFonts w:cs="Arial"/>
          <w:szCs w:val="24"/>
        </w:rPr>
        <w:t>% wartości docelowej na 2023r.</w:t>
      </w:r>
    </w:p>
    <w:p w14:paraId="23CB302A" w14:textId="519B9350" w:rsidR="0079763C" w:rsidRPr="00211D94" w:rsidRDefault="0079763C" w:rsidP="00F55865">
      <w:pPr>
        <w:spacing w:before="120" w:after="120"/>
        <w:rPr>
          <w:rFonts w:cs="Arial"/>
          <w:szCs w:val="24"/>
        </w:rPr>
      </w:pPr>
      <w:bookmarkStart w:id="82" w:name="_Toc511382681"/>
      <w:bookmarkStart w:id="83" w:name="_Toc100475835"/>
      <w:r w:rsidRPr="00211D94">
        <w:rPr>
          <w:rFonts w:cs="Arial"/>
          <w:szCs w:val="24"/>
        </w:rPr>
        <w:t>Postęp rzeczowy został przedstawiony w tabelach 3A, 5 oraz w pkt. 11.1. sprawozdania.</w:t>
      </w:r>
    </w:p>
    <w:p w14:paraId="11120671" w14:textId="77777777" w:rsidR="009732B9" w:rsidRPr="00211D94" w:rsidRDefault="009732B9" w:rsidP="00F55865">
      <w:pPr>
        <w:pStyle w:val="Nagwek3"/>
        <w:spacing w:before="120" w:after="120"/>
        <w:rPr>
          <w:rFonts w:cs="Arial"/>
        </w:rPr>
      </w:pPr>
      <w:bookmarkStart w:id="84" w:name="_Toc214025261"/>
      <w:r w:rsidRPr="00211D94">
        <w:rPr>
          <w:rFonts w:cs="Arial"/>
        </w:rPr>
        <w:t>3.1.11. Oś Priorytetowa 11. Środowisko.</w:t>
      </w:r>
      <w:bookmarkEnd w:id="82"/>
      <w:bookmarkEnd w:id="83"/>
      <w:bookmarkEnd w:id="84"/>
    </w:p>
    <w:p w14:paraId="78C344AD" w14:textId="77777777" w:rsidR="00EC7B98" w:rsidRPr="00211D94" w:rsidRDefault="00EC7B98" w:rsidP="00F55865">
      <w:pPr>
        <w:spacing w:before="120" w:after="120"/>
        <w:rPr>
          <w:rFonts w:cs="Arial"/>
          <w:szCs w:val="24"/>
        </w:rPr>
      </w:pPr>
      <w:r w:rsidRPr="00211D94">
        <w:rPr>
          <w:rFonts w:cs="Arial"/>
          <w:szCs w:val="24"/>
        </w:rPr>
        <w:t xml:space="preserve">Łącznie w okresie realizacji Programu: </w:t>
      </w:r>
    </w:p>
    <w:p w14:paraId="06F9C39B" w14:textId="354804B3"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podpisano </w:t>
      </w:r>
      <w:r w:rsidR="00E44E6C" w:rsidRPr="00211D94">
        <w:rPr>
          <w:rFonts w:cs="Arial"/>
          <w:szCs w:val="24"/>
        </w:rPr>
        <w:t>116</w:t>
      </w:r>
      <w:r w:rsidRPr="00211D94">
        <w:rPr>
          <w:rFonts w:cs="Arial"/>
          <w:szCs w:val="24"/>
        </w:rPr>
        <w:t xml:space="preserve"> </w:t>
      </w:r>
      <w:proofErr w:type="spellStart"/>
      <w:r w:rsidRPr="00211D94">
        <w:rPr>
          <w:rFonts w:cs="Arial"/>
          <w:szCs w:val="24"/>
        </w:rPr>
        <w:t>UoD-dof.UE</w:t>
      </w:r>
      <w:proofErr w:type="spellEnd"/>
      <w:r w:rsidRPr="00211D94">
        <w:rPr>
          <w:rFonts w:cs="Arial"/>
          <w:szCs w:val="24"/>
        </w:rPr>
        <w:t xml:space="preserve"> </w:t>
      </w:r>
      <w:r w:rsidR="00E44E6C" w:rsidRPr="00211D94">
        <w:rPr>
          <w:rFonts w:cs="Arial"/>
          <w:szCs w:val="24"/>
        </w:rPr>
        <w:t>122,8</w:t>
      </w:r>
      <w:r w:rsidRPr="00211D94">
        <w:rPr>
          <w:rFonts w:cs="Arial"/>
          <w:szCs w:val="24"/>
        </w:rPr>
        <w:t xml:space="preserve"> mln EUR–</w:t>
      </w:r>
      <w:r w:rsidR="00E44E6C" w:rsidRPr="00211D94">
        <w:rPr>
          <w:rFonts w:cs="Arial"/>
          <w:szCs w:val="24"/>
        </w:rPr>
        <w:t>101,6</w:t>
      </w:r>
      <w:r w:rsidRPr="00211D94">
        <w:rPr>
          <w:rFonts w:cs="Arial"/>
          <w:szCs w:val="24"/>
        </w:rPr>
        <w:t xml:space="preserve">% alokacji, ogółem </w:t>
      </w:r>
      <w:r w:rsidR="00E44E6C" w:rsidRPr="00211D94">
        <w:rPr>
          <w:rFonts w:cs="Arial"/>
          <w:szCs w:val="24"/>
        </w:rPr>
        <w:t>208,2</w:t>
      </w:r>
      <w:r w:rsidRPr="00211D94">
        <w:rPr>
          <w:rFonts w:cs="Arial"/>
          <w:szCs w:val="24"/>
        </w:rPr>
        <w:t xml:space="preserve"> mln EUR</w:t>
      </w:r>
    </w:p>
    <w:p w14:paraId="36D1BA72" w14:textId="015D91E4"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E44E6C" w:rsidRPr="00211D94">
        <w:rPr>
          <w:rFonts w:cs="Arial"/>
          <w:szCs w:val="24"/>
        </w:rPr>
        <w:t>122,8</w:t>
      </w:r>
      <w:r w:rsidRPr="00211D94">
        <w:rPr>
          <w:rFonts w:cs="Arial"/>
          <w:szCs w:val="24"/>
        </w:rPr>
        <w:t xml:space="preserve"> mln EUR–</w:t>
      </w:r>
      <w:r w:rsidR="00E44E6C" w:rsidRPr="00211D94">
        <w:rPr>
          <w:rFonts w:cs="Arial"/>
          <w:szCs w:val="24"/>
        </w:rPr>
        <w:t>101,6</w:t>
      </w:r>
      <w:r w:rsidRPr="00211D94">
        <w:rPr>
          <w:rFonts w:cs="Arial"/>
          <w:szCs w:val="24"/>
        </w:rPr>
        <w:t xml:space="preserve">% alokacji, ogółem </w:t>
      </w:r>
      <w:r w:rsidR="00E44E6C" w:rsidRPr="00211D94">
        <w:rPr>
          <w:rFonts w:cs="Arial"/>
          <w:szCs w:val="24"/>
        </w:rPr>
        <w:t>209,3</w:t>
      </w:r>
      <w:r w:rsidRPr="00211D94">
        <w:rPr>
          <w:rFonts w:cs="Arial"/>
          <w:szCs w:val="24"/>
        </w:rPr>
        <w:t xml:space="preserve"> mln EUR</w:t>
      </w:r>
    </w:p>
    <w:p w14:paraId="26EA820B" w14:textId="7D443B9D"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6D5357" w:rsidRPr="00211D94">
        <w:rPr>
          <w:rFonts w:cs="Arial"/>
          <w:szCs w:val="24"/>
        </w:rPr>
        <w:t>120,9</w:t>
      </w:r>
      <w:r w:rsidR="009732B9" w:rsidRPr="00211D94">
        <w:rPr>
          <w:rFonts w:cs="Arial"/>
          <w:szCs w:val="24"/>
        </w:rPr>
        <w:t xml:space="preserve"> mln EUR–</w:t>
      </w:r>
      <w:r w:rsidR="006D5357"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6C7A2D" w:rsidRPr="00211D94">
        <w:rPr>
          <w:rFonts w:cs="Arial"/>
          <w:szCs w:val="24"/>
        </w:rPr>
        <w:t>168,0</w:t>
      </w:r>
      <w:r w:rsidR="009732B9" w:rsidRPr="00211D94">
        <w:rPr>
          <w:rFonts w:cs="Arial"/>
          <w:szCs w:val="24"/>
        </w:rPr>
        <w:t xml:space="preserve"> mln EUR</w:t>
      </w:r>
    </w:p>
    <w:p w14:paraId="0D8B9AE5" w14:textId="77777777" w:rsidR="009732B9" w:rsidRPr="00211D94" w:rsidRDefault="009732B9" w:rsidP="00F55865">
      <w:pPr>
        <w:spacing w:before="120" w:after="120"/>
        <w:rPr>
          <w:rFonts w:cs="Arial"/>
          <w:szCs w:val="24"/>
        </w:rPr>
      </w:pPr>
      <w:r w:rsidRPr="00211D94">
        <w:rPr>
          <w:rFonts w:cs="Arial"/>
          <w:szCs w:val="24"/>
        </w:rPr>
        <w:t>Charakterystyka projektów</w:t>
      </w:r>
    </w:p>
    <w:p w14:paraId="3FC1EDD3" w14:textId="7C8230FB"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(80,</w:t>
      </w:r>
      <w:r w:rsidR="00A14F24" w:rsidRPr="00211D94">
        <w:rPr>
          <w:rFonts w:cs="Arial"/>
          <w:szCs w:val="24"/>
        </w:rPr>
        <w:t>2</w:t>
      </w:r>
      <w:r w:rsidRPr="00211D94">
        <w:rPr>
          <w:rFonts w:cs="Arial"/>
          <w:szCs w:val="24"/>
        </w:rPr>
        <w:t>%), przedsiębiorstwa (7,</w:t>
      </w:r>
      <w:r w:rsidR="00A14F24" w:rsidRPr="00211D94">
        <w:rPr>
          <w:rFonts w:cs="Arial"/>
          <w:szCs w:val="24"/>
        </w:rPr>
        <w:t>8</w:t>
      </w:r>
      <w:r w:rsidRPr="00211D94">
        <w:rPr>
          <w:rFonts w:cs="Arial"/>
          <w:szCs w:val="24"/>
        </w:rPr>
        <w:t>%), NGO (5,</w:t>
      </w:r>
      <w:r w:rsidR="00A14F24" w:rsidRPr="00211D94">
        <w:rPr>
          <w:rFonts w:cs="Arial"/>
          <w:szCs w:val="24"/>
        </w:rPr>
        <w:t>2</w:t>
      </w:r>
      <w:r w:rsidRPr="00211D94">
        <w:rPr>
          <w:rFonts w:cs="Arial"/>
          <w:szCs w:val="24"/>
        </w:rPr>
        <w:t>%), jednostki administracji rządowej (5,</w:t>
      </w:r>
      <w:r w:rsidR="00A14F24" w:rsidRPr="00211D94">
        <w:rPr>
          <w:rFonts w:cs="Arial"/>
          <w:szCs w:val="24"/>
        </w:rPr>
        <w:t>2</w:t>
      </w:r>
      <w:r w:rsidRPr="00211D94">
        <w:rPr>
          <w:rFonts w:cs="Arial"/>
          <w:szCs w:val="24"/>
        </w:rPr>
        <w:t>%), szkoły/uczelnie/jednostki naukowe (1,7%)</w:t>
      </w:r>
    </w:p>
    <w:p w14:paraId="0DCD9F0F" w14:textId="2C8BE222" w:rsidR="009732B9" w:rsidRPr="00211D94" w:rsidRDefault="009732B9" w:rsidP="00F55865">
      <w:pPr>
        <w:numPr>
          <w:ilvl w:val="0"/>
          <w:numId w:val="6"/>
        </w:numPr>
        <w:spacing w:before="120" w:after="120"/>
        <w:rPr>
          <w:rFonts w:cs="Arial"/>
          <w:szCs w:val="24"/>
        </w:rPr>
      </w:pPr>
      <w:r w:rsidRPr="00211D94">
        <w:rPr>
          <w:rFonts w:cs="Arial"/>
          <w:szCs w:val="24"/>
        </w:rPr>
        <w:t>Główne rodzaje dział. gosp.: dostawa wody, gospodarowanie ściekami i odpadami oraz działalność związana z rekultywacją</w:t>
      </w:r>
      <w:r w:rsidR="00A14F24" w:rsidRPr="00211D94">
        <w:rPr>
          <w:rFonts w:cs="Arial"/>
          <w:szCs w:val="24"/>
        </w:rPr>
        <w:t>;</w:t>
      </w:r>
      <w:r w:rsidRPr="00211D94">
        <w:rPr>
          <w:rFonts w:cs="Arial"/>
          <w:szCs w:val="24"/>
        </w:rPr>
        <w:t xml:space="preserve"> działalność związana ze środowiskiem naturalnym, zmianami klimatu</w:t>
      </w:r>
    </w:p>
    <w:p w14:paraId="245BA90A" w14:textId="77777777" w:rsidR="009732B9"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Główne PKD Beneficjentów: 84.11.Z, 38.11.Z</w:t>
      </w:r>
    </w:p>
    <w:p w14:paraId="6B70AD03" w14:textId="7430F9DD" w:rsidR="009732B9" w:rsidRPr="00211D94" w:rsidRDefault="009732B9" w:rsidP="00F55865">
      <w:pPr>
        <w:numPr>
          <w:ilvl w:val="0"/>
          <w:numId w:val="6"/>
        </w:numPr>
        <w:spacing w:before="120" w:after="120"/>
        <w:rPr>
          <w:rFonts w:cs="Arial"/>
          <w:szCs w:val="24"/>
        </w:rPr>
      </w:pPr>
      <w:r w:rsidRPr="00211D94">
        <w:rPr>
          <w:rFonts w:cs="Arial"/>
          <w:szCs w:val="24"/>
        </w:rPr>
        <w:t>3</w:t>
      </w:r>
      <w:r w:rsidR="00A14F24" w:rsidRPr="00211D94">
        <w:rPr>
          <w:rFonts w:cs="Arial"/>
          <w:szCs w:val="24"/>
        </w:rPr>
        <w:t>7,9</w:t>
      </w:r>
      <w:r w:rsidRPr="00211D94">
        <w:rPr>
          <w:rFonts w:cs="Arial"/>
          <w:szCs w:val="24"/>
        </w:rPr>
        <w:t>% projektów na obszarach miejskich</w:t>
      </w:r>
    </w:p>
    <w:p w14:paraId="5CAA37C3" w14:textId="52F83D05" w:rsidR="009732B9" w:rsidRPr="00211D94" w:rsidRDefault="00A14F24" w:rsidP="00F55865">
      <w:pPr>
        <w:numPr>
          <w:ilvl w:val="0"/>
          <w:numId w:val="6"/>
        </w:numPr>
        <w:spacing w:before="120" w:after="120"/>
        <w:rPr>
          <w:rFonts w:cs="Arial"/>
          <w:szCs w:val="24"/>
        </w:rPr>
      </w:pPr>
      <w:r w:rsidRPr="00211D94">
        <w:rPr>
          <w:rFonts w:cs="Arial"/>
          <w:szCs w:val="24"/>
        </w:rPr>
        <w:t>62,1</w:t>
      </w:r>
      <w:r w:rsidR="009732B9" w:rsidRPr="00211D94">
        <w:rPr>
          <w:rFonts w:cs="Arial"/>
          <w:szCs w:val="24"/>
        </w:rPr>
        <w:t>% projektów na obszarach wiejskich</w:t>
      </w:r>
    </w:p>
    <w:p w14:paraId="092A0E6F" w14:textId="1A7E2340" w:rsidR="009732B9" w:rsidRPr="00211D94" w:rsidRDefault="009732B9" w:rsidP="00F55865">
      <w:pPr>
        <w:spacing w:before="120" w:after="120"/>
        <w:rPr>
          <w:rFonts w:cs="Arial"/>
          <w:szCs w:val="24"/>
        </w:rPr>
      </w:pPr>
      <w:r w:rsidRPr="00211D94">
        <w:rPr>
          <w:rFonts w:cs="Arial"/>
          <w:szCs w:val="24"/>
        </w:rPr>
        <w:t>Ramy wykonania</w:t>
      </w:r>
    </w:p>
    <w:p w14:paraId="741B00C0" w14:textId="2D7E6178" w:rsidR="007A7CB3" w:rsidRPr="00211D94" w:rsidRDefault="007A7CB3" w:rsidP="00F5586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2D785C97" w14:textId="50C4B930" w:rsidR="009732B9" w:rsidRPr="00211D94" w:rsidRDefault="009732B9" w:rsidP="00F55865">
      <w:pPr>
        <w:pStyle w:val="Akapitzlist"/>
        <w:numPr>
          <w:ilvl w:val="0"/>
          <w:numId w:val="38"/>
        </w:numPr>
        <w:spacing w:before="120" w:after="120" w:line="276" w:lineRule="auto"/>
        <w:ind w:left="284" w:hanging="284"/>
        <w:contextualSpacing w:val="0"/>
        <w:rPr>
          <w:rFonts w:cs="Arial"/>
          <w:szCs w:val="24"/>
        </w:rPr>
      </w:pPr>
      <w:r w:rsidRPr="00211D94">
        <w:rPr>
          <w:rFonts w:cs="Arial"/>
          <w:szCs w:val="24"/>
        </w:rPr>
        <w:t xml:space="preserve">Liczba wspartych obiektów gospodarowania odpadami – </w:t>
      </w:r>
      <w:r w:rsidR="008D1837" w:rsidRPr="00211D94">
        <w:rPr>
          <w:rFonts w:cs="Arial"/>
          <w:szCs w:val="24"/>
        </w:rPr>
        <w:t>120,0</w:t>
      </w:r>
      <w:r w:rsidRPr="00211D94">
        <w:rPr>
          <w:rFonts w:cs="Arial"/>
          <w:szCs w:val="24"/>
        </w:rPr>
        <w:t>% wartości docelowej na 2023r.</w:t>
      </w:r>
    </w:p>
    <w:p w14:paraId="7D84E365" w14:textId="1AC0628F"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Długość sieci kanalizacji sanitarnej – </w:t>
      </w:r>
      <w:r w:rsidR="008D1837" w:rsidRPr="00211D94">
        <w:rPr>
          <w:rFonts w:cs="Arial"/>
          <w:szCs w:val="24"/>
        </w:rPr>
        <w:t>112,6</w:t>
      </w:r>
      <w:r w:rsidRPr="00211D94">
        <w:rPr>
          <w:rFonts w:cs="Arial"/>
          <w:szCs w:val="24"/>
        </w:rPr>
        <w:t>% wartości docelowej na 2023r.</w:t>
      </w:r>
    </w:p>
    <w:p w14:paraId="6E149206" w14:textId="775E62B4"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Długość szlaków turystycznych – </w:t>
      </w:r>
      <w:r w:rsidR="008D1837" w:rsidRPr="00211D94">
        <w:rPr>
          <w:rFonts w:cs="Arial"/>
          <w:szCs w:val="24"/>
        </w:rPr>
        <w:t>200,1</w:t>
      </w:r>
      <w:r w:rsidRPr="00211D94">
        <w:rPr>
          <w:rFonts w:cs="Arial"/>
          <w:szCs w:val="24"/>
        </w:rPr>
        <w:t>% wartości docelowej na 2023r.</w:t>
      </w:r>
    </w:p>
    <w:p w14:paraId="2632E598" w14:textId="5E704762" w:rsidR="009732B9" w:rsidRPr="00211D94" w:rsidRDefault="009732B9" w:rsidP="00F55865">
      <w:pPr>
        <w:pStyle w:val="Akapitzlist"/>
        <w:numPr>
          <w:ilvl w:val="0"/>
          <w:numId w:val="3"/>
        </w:numPr>
        <w:spacing w:before="120" w:after="120" w:line="276" w:lineRule="auto"/>
        <w:ind w:left="283" w:hanging="283"/>
        <w:contextualSpacing w:val="0"/>
        <w:rPr>
          <w:rFonts w:cs="Arial"/>
          <w:szCs w:val="24"/>
        </w:rPr>
      </w:pPr>
      <w:r w:rsidRPr="00211D94">
        <w:rPr>
          <w:rFonts w:cs="Arial"/>
          <w:szCs w:val="24"/>
        </w:rPr>
        <w:t xml:space="preserve">Wskaźnik finansowy – </w:t>
      </w:r>
      <w:r w:rsidR="008D1837" w:rsidRPr="00211D94">
        <w:rPr>
          <w:rFonts w:cs="Arial"/>
          <w:szCs w:val="24"/>
        </w:rPr>
        <w:t>120,2</w:t>
      </w:r>
      <w:r w:rsidRPr="00211D94">
        <w:rPr>
          <w:rFonts w:cs="Arial"/>
          <w:szCs w:val="24"/>
        </w:rPr>
        <w:t>% wartości docelowej na 2023r.</w:t>
      </w:r>
    </w:p>
    <w:p w14:paraId="2406822A" w14:textId="60D167D3" w:rsidR="0079763C" w:rsidRPr="00211D94" w:rsidRDefault="0079763C" w:rsidP="00F55865">
      <w:pPr>
        <w:spacing w:before="120" w:after="120"/>
        <w:rPr>
          <w:rFonts w:cs="Arial"/>
          <w:szCs w:val="24"/>
        </w:rPr>
      </w:pPr>
      <w:bookmarkStart w:id="85" w:name="_Toc484443185"/>
      <w:bookmarkStart w:id="86" w:name="_Toc507765144"/>
      <w:bookmarkStart w:id="87" w:name="_Toc433331"/>
      <w:bookmarkStart w:id="88" w:name="_Toc3973344"/>
      <w:r w:rsidRPr="00211D94">
        <w:rPr>
          <w:rFonts w:cs="Arial"/>
          <w:szCs w:val="24"/>
        </w:rPr>
        <w:t xml:space="preserve">Postęp rzeczowy został przedstawiony w tabelach 3A, 5 oraz w pkt. 11.1. </w:t>
      </w:r>
      <w:r w:rsidR="00345CDA" w:rsidRPr="00211D94">
        <w:rPr>
          <w:rFonts w:cs="Arial"/>
          <w:szCs w:val="24"/>
        </w:rPr>
        <w:t>sprawozdania</w:t>
      </w:r>
      <w:r w:rsidRPr="00211D94">
        <w:rPr>
          <w:rFonts w:cs="Arial"/>
          <w:szCs w:val="24"/>
        </w:rPr>
        <w:t>.</w:t>
      </w:r>
    </w:p>
    <w:p w14:paraId="2451074A" w14:textId="03E5EEA3" w:rsidR="009E0224" w:rsidRPr="00211D94" w:rsidRDefault="005B050C" w:rsidP="00F55865">
      <w:pPr>
        <w:pStyle w:val="Nagwek3"/>
        <w:spacing w:before="120" w:after="120"/>
        <w:rPr>
          <w:rFonts w:cs="Arial"/>
          <w:color w:val="FFFFFF" w:themeColor="background1"/>
        </w:rPr>
      </w:pPr>
      <w:bookmarkStart w:id="89" w:name="_Toc214025262"/>
      <w:r w:rsidRPr="00211D94">
        <w:rPr>
          <w:rFonts w:cs="Arial"/>
          <w:color w:val="FFFFFF" w:themeColor="background1"/>
        </w:rPr>
        <w:t>3.1.</w:t>
      </w:r>
      <w:r w:rsidR="009732B9" w:rsidRPr="00211D94">
        <w:rPr>
          <w:rFonts w:cs="Arial"/>
          <w:color w:val="FFFFFF" w:themeColor="background1"/>
        </w:rPr>
        <w:t>12</w:t>
      </w:r>
      <w:r w:rsidRPr="00211D94">
        <w:rPr>
          <w:rFonts w:cs="Arial"/>
          <w:color w:val="FFFFFF" w:themeColor="background1"/>
        </w:rPr>
        <w:t xml:space="preserve">. </w:t>
      </w:r>
      <w:r w:rsidR="009E0224" w:rsidRPr="00211D94">
        <w:rPr>
          <w:rFonts w:cs="Arial"/>
          <w:color w:val="FFFFFF" w:themeColor="background1"/>
        </w:rPr>
        <w:t>O</w:t>
      </w:r>
      <w:r w:rsidR="007B57EB" w:rsidRPr="00211D94">
        <w:rPr>
          <w:rFonts w:cs="Arial"/>
          <w:color w:val="FFFFFF" w:themeColor="background1"/>
        </w:rPr>
        <w:t xml:space="preserve">ś </w:t>
      </w:r>
      <w:r w:rsidR="009E0224" w:rsidRPr="00211D94">
        <w:rPr>
          <w:rFonts w:cs="Arial"/>
          <w:color w:val="FFFFFF" w:themeColor="background1"/>
        </w:rPr>
        <w:t>P</w:t>
      </w:r>
      <w:r w:rsidR="007B57EB" w:rsidRPr="00211D94">
        <w:rPr>
          <w:rFonts w:cs="Arial"/>
          <w:color w:val="FFFFFF" w:themeColor="background1"/>
        </w:rPr>
        <w:t xml:space="preserve">riorytetowa </w:t>
      </w:r>
      <w:r w:rsidR="009E0224" w:rsidRPr="00211D94">
        <w:rPr>
          <w:rFonts w:cs="Arial"/>
          <w:color w:val="FFFFFF" w:themeColor="background1"/>
        </w:rPr>
        <w:t>12</w:t>
      </w:r>
      <w:r w:rsidR="007B57EB" w:rsidRPr="00211D94">
        <w:rPr>
          <w:rFonts w:cs="Arial"/>
          <w:color w:val="FFFFFF" w:themeColor="background1"/>
        </w:rPr>
        <w:t>.</w:t>
      </w:r>
      <w:r w:rsidR="009E0224" w:rsidRPr="00211D94">
        <w:rPr>
          <w:rFonts w:cs="Arial"/>
          <w:color w:val="FFFFFF" w:themeColor="background1"/>
        </w:rPr>
        <w:t xml:space="preserve"> </w:t>
      </w:r>
      <w:bookmarkEnd w:id="85"/>
      <w:bookmarkEnd w:id="86"/>
      <w:r w:rsidR="009E0224" w:rsidRPr="00211D94">
        <w:rPr>
          <w:rFonts w:cs="Arial"/>
          <w:color w:val="FFFFFF" w:themeColor="background1"/>
        </w:rPr>
        <w:t>P</w:t>
      </w:r>
      <w:r w:rsidR="007B57EB" w:rsidRPr="00211D94">
        <w:rPr>
          <w:rFonts w:cs="Arial"/>
          <w:color w:val="FFFFFF" w:themeColor="background1"/>
        </w:rPr>
        <w:t>omoc</w:t>
      </w:r>
      <w:r w:rsidR="009E0224" w:rsidRPr="00211D94">
        <w:rPr>
          <w:rFonts w:cs="Arial"/>
          <w:color w:val="FFFFFF" w:themeColor="background1"/>
        </w:rPr>
        <w:t xml:space="preserve"> </w:t>
      </w:r>
      <w:bookmarkEnd w:id="87"/>
      <w:bookmarkEnd w:id="88"/>
      <w:r w:rsidR="007B57EB" w:rsidRPr="00211D94">
        <w:rPr>
          <w:rFonts w:cs="Arial"/>
          <w:color w:val="FFFFFF" w:themeColor="background1"/>
        </w:rPr>
        <w:t>techniczna</w:t>
      </w:r>
      <w:bookmarkEnd w:id="89"/>
    </w:p>
    <w:p w14:paraId="7CA643BD" w14:textId="77777777" w:rsidR="00C43D33" w:rsidRPr="00211D94" w:rsidRDefault="00E0050F" w:rsidP="00F55865">
      <w:pPr>
        <w:spacing w:before="120" w:after="120"/>
        <w:rPr>
          <w:rFonts w:cs="Arial"/>
          <w:szCs w:val="24"/>
        </w:rPr>
      </w:pPr>
      <w:r w:rsidRPr="00211D94">
        <w:rPr>
          <w:rFonts w:cs="Arial"/>
          <w:szCs w:val="24"/>
        </w:rPr>
        <w:t xml:space="preserve">Łącznie </w:t>
      </w:r>
      <w:bookmarkStart w:id="90" w:name="_Hlk35845582"/>
      <w:r w:rsidR="00C43D33" w:rsidRPr="00211D94">
        <w:rPr>
          <w:rFonts w:cs="Arial"/>
          <w:szCs w:val="24"/>
        </w:rPr>
        <w:t xml:space="preserve">w okresie realizacji Programu: </w:t>
      </w:r>
    </w:p>
    <w:p w14:paraId="3580FF11" w14:textId="2761C2C3" w:rsidR="00C43D33" w:rsidRPr="00211D94" w:rsidRDefault="00C43D33" w:rsidP="00F55865">
      <w:pPr>
        <w:numPr>
          <w:ilvl w:val="0"/>
          <w:numId w:val="1"/>
        </w:numPr>
        <w:spacing w:before="120" w:after="120"/>
        <w:rPr>
          <w:rFonts w:cs="Arial"/>
          <w:szCs w:val="24"/>
        </w:rPr>
      </w:pPr>
      <w:r w:rsidRPr="00211D94">
        <w:rPr>
          <w:rFonts w:cs="Arial"/>
          <w:szCs w:val="24"/>
        </w:rPr>
        <w:t xml:space="preserve">podpisano 13 </w:t>
      </w:r>
      <w:proofErr w:type="spellStart"/>
      <w:r w:rsidRPr="00211D94">
        <w:rPr>
          <w:rFonts w:cs="Arial"/>
          <w:szCs w:val="24"/>
        </w:rPr>
        <w:t>UoD-dof.UE</w:t>
      </w:r>
      <w:proofErr w:type="spellEnd"/>
      <w:r w:rsidRPr="00211D94">
        <w:rPr>
          <w:rFonts w:cs="Arial"/>
          <w:szCs w:val="24"/>
        </w:rPr>
        <w:t xml:space="preserve"> 76,7 mln EUR–</w:t>
      </w:r>
      <w:r w:rsidR="00EC7B98" w:rsidRPr="00211D94">
        <w:rPr>
          <w:rFonts w:cs="Arial"/>
          <w:szCs w:val="24"/>
        </w:rPr>
        <w:t>117,7</w:t>
      </w:r>
      <w:r w:rsidRPr="00211D94">
        <w:rPr>
          <w:rFonts w:cs="Arial"/>
          <w:szCs w:val="24"/>
        </w:rPr>
        <w:t>% alokacji, ogółem 90,</w:t>
      </w:r>
      <w:r w:rsidR="00EC7B98" w:rsidRPr="00211D94">
        <w:rPr>
          <w:rFonts w:cs="Arial"/>
          <w:szCs w:val="24"/>
        </w:rPr>
        <w:t>3</w:t>
      </w:r>
      <w:r w:rsidRPr="00211D94">
        <w:rPr>
          <w:rFonts w:cs="Arial"/>
          <w:szCs w:val="24"/>
        </w:rPr>
        <w:t xml:space="preserve"> mln EUR</w:t>
      </w:r>
    </w:p>
    <w:p w14:paraId="30C5FA8E" w14:textId="47A67909" w:rsidR="00C43D33" w:rsidRPr="00211D94" w:rsidRDefault="00C43D33"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66,</w:t>
      </w:r>
      <w:r w:rsidR="00EC7B98" w:rsidRPr="00211D94">
        <w:rPr>
          <w:rFonts w:cs="Arial"/>
          <w:szCs w:val="24"/>
        </w:rPr>
        <w:t>2</w:t>
      </w:r>
      <w:r w:rsidRPr="00211D94">
        <w:rPr>
          <w:rFonts w:cs="Arial"/>
          <w:szCs w:val="24"/>
        </w:rPr>
        <w:t xml:space="preserve"> mln EUR–</w:t>
      </w:r>
      <w:r w:rsidR="00EC7B98" w:rsidRPr="00211D94">
        <w:rPr>
          <w:rFonts w:cs="Arial"/>
          <w:szCs w:val="24"/>
        </w:rPr>
        <w:t>101,5</w:t>
      </w:r>
      <w:r w:rsidRPr="00211D94">
        <w:rPr>
          <w:rFonts w:cs="Arial"/>
          <w:szCs w:val="24"/>
        </w:rPr>
        <w:t>% alokacji, ogółem 77,8 mln EUR</w:t>
      </w:r>
    </w:p>
    <w:p w14:paraId="3629E916" w14:textId="3DAFF5B7" w:rsidR="00C43D33" w:rsidRPr="00211D94" w:rsidRDefault="00076126" w:rsidP="00F55865">
      <w:pPr>
        <w:numPr>
          <w:ilvl w:val="0"/>
          <w:numId w:val="1"/>
        </w:numPr>
        <w:spacing w:before="120" w:after="120"/>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C43D33" w:rsidRPr="00211D94">
        <w:rPr>
          <w:rFonts w:cs="Arial"/>
          <w:szCs w:val="24"/>
        </w:rPr>
        <w:t xml:space="preserve"> </w:t>
      </w:r>
      <w:r w:rsidR="00EC7B98" w:rsidRPr="00211D94">
        <w:rPr>
          <w:rFonts w:cs="Arial"/>
          <w:szCs w:val="24"/>
        </w:rPr>
        <w:t>65,2</w:t>
      </w:r>
      <w:r w:rsidR="00C43D33" w:rsidRPr="00211D94">
        <w:rPr>
          <w:rFonts w:cs="Arial"/>
          <w:szCs w:val="24"/>
        </w:rPr>
        <w:t xml:space="preserve"> mln EUR–</w:t>
      </w:r>
      <w:r w:rsidR="00EC7B98" w:rsidRPr="00211D94">
        <w:rPr>
          <w:rFonts w:cs="Arial"/>
          <w:szCs w:val="24"/>
        </w:rPr>
        <w:t>100,0</w:t>
      </w:r>
      <w:r w:rsidR="00C43D33" w:rsidRPr="00211D94">
        <w:rPr>
          <w:rFonts w:cs="Arial"/>
          <w:szCs w:val="24"/>
        </w:rPr>
        <w:t xml:space="preserve">% alokacji, </w:t>
      </w:r>
      <w:r w:rsidR="006C7A2D" w:rsidRPr="00211D94">
        <w:rPr>
          <w:rFonts w:cs="Arial"/>
          <w:szCs w:val="24"/>
        </w:rPr>
        <w:t>łączna wartość wydatków kwalifikowalnych wyniosła</w:t>
      </w:r>
      <w:r w:rsidR="00C43D33" w:rsidRPr="00211D94">
        <w:rPr>
          <w:rFonts w:cs="Arial"/>
          <w:szCs w:val="24"/>
        </w:rPr>
        <w:t xml:space="preserve"> </w:t>
      </w:r>
      <w:r w:rsidR="006C7A2D" w:rsidRPr="00211D94">
        <w:rPr>
          <w:rFonts w:cs="Arial"/>
          <w:szCs w:val="24"/>
        </w:rPr>
        <w:t>74,7</w:t>
      </w:r>
      <w:r w:rsidR="00C43D33" w:rsidRPr="00211D94">
        <w:rPr>
          <w:rFonts w:cs="Arial"/>
          <w:szCs w:val="24"/>
        </w:rPr>
        <w:t xml:space="preserve"> mln EUR</w:t>
      </w:r>
    </w:p>
    <w:p w14:paraId="00DFC01F" w14:textId="77777777" w:rsidR="00C43D33" w:rsidRPr="00211D94" w:rsidRDefault="00C43D33" w:rsidP="00F55865">
      <w:pPr>
        <w:spacing w:before="120" w:after="120"/>
        <w:rPr>
          <w:rFonts w:cs="Arial"/>
          <w:szCs w:val="24"/>
        </w:rPr>
      </w:pPr>
      <w:r w:rsidRPr="00211D94">
        <w:rPr>
          <w:rFonts w:cs="Arial"/>
          <w:szCs w:val="24"/>
        </w:rPr>
        <w:t>Charakterystyka projektów:</w:t>
      </w:r>
    </w:p>
    <w:p w14:paraId="22DA118C" w14:textId="1EC19BDC" w:rsidR="00C43D33" w:rsidRPr="00211D94" w:rsidRDefault="00C43D33" w:rsidP="00F55865">
      <w:pPr>
        <w:numPr>
          <w:ilvl w:val="0"/>
          <w:numId w:val="6"/>
        </w:numPr>
        <w:spacing w:before="120" w:after="120"/>
        <w:rPr>
          <w:rFonts w:cs="Arial"/>
          <w:szCs w:val="24"/>
        </w:rPr>
      </w:pPr>
      <w:r w:rsidRPr="00211D94">
        <w:rPr>
          <w:rFonts w:cs="Arial"/>
          <w:szCs w:val="24"/>
        </w:rPr>
        <w:t>JST (92</w:t>
      </w:r>
      <w:r w:rsidR="00A14F24" w:rsidRPr="00211D94">
        <w:rPr>
          <w:rFonts w:cs="Arial"/>
          <w:szCs w:val="24"/>
        </w:rPr>
        <w:t>,3</w:t>
      </w:r>
      <w:r w:rsidRPr="00211D94">
        <w:rPr>
          <w:rFonts w:cs="Arial"/>
          <w:szCs w:val="24"/>
        </w:rPr>
        <w:t>%), NGO (</w:t>
      </w:r>
      <w:r w:rsidR="00A14F24" w:rsidRPr="00211D94">
        <w:rPr>
          <w:rFonts w:cs="Arial"/>
          <w:szCs w:val="24"/>
        </w:rPr>
        <w:t>7,7</w:t>
      </w:r>
      <w:r w:rsidRPr="00211D94">
        <w:rPr>
          <w:rFonts w:cs="Arial"/>
          <w:szCs w:val="24"/>
        </w:rPr>
        <w:t>%)</w:t>
      </w:r>
    </w:p>
    <w:p w14:paraId="22DFE8C0" w14:textId="77777777" w:rsidR="00C43D33" w:rsidRPr="00211D94" w:rsidRDefault="00C43D33" w:rsidP="00F55865">
      <w:pPr>
        <w:numPr>
          <w:ilvl w:val="0"/>
          <w:numId w:val="6"/>
        </w:numPr>
        <w:spacing w:before="120" w:after="120"/>
        <w:rPr>
          <w:rFonts w:cs="Arial"/>
          <w:szCs w:val="24"/>
        </w:rPr>
      </w:pPr>
      <w:r w:rsidRPr="00211D94">
        <w:rPr>
          <w:rFonts w:cs="Arial"/>
          <w:szCs w:val="24"/>
        </w:rPr>
        <w:t>Główne rodzaje dział. gosp.: administracja publiczna</w:t>
      </w:r>
    </w:p>
    <w:p w14:paraId="02F0D845" w14:textId="77777777" w:rsidR="00C43D33" w:rsidRPr="00211D94" w:rsidRDefault="00C43D33" w:rsidP="00F55865">
      <w:pPr>
        <w:numPr>
          <w:ilvl w:val="0"/>
          <w:numId w:val="6"/>
        </w:numPr>
        <w:spacing w:before="120" w:after="120"/>
        <w:rPr>
          <w:rFonts w:cs="Arial"/>
          <w:szCs w:val="24"/>
        </w:rPr>
      </w:pPr>
      <w:r w:rsidRPr="00211D94">
        <w:rPr>
          <w:rFonts w:cs="Arial"/>
          <w:szCs w:val="24"/>
        </w:rPr>
        <w:t xml:space="preserve">Główne PKD Beneficjentów: 84.13.Z </w:t>
      </w:r>
    </w:p>
    <w:p w14:paraId="6CA587F9" w14:textId="77777777" w:rsidR="00C43D33" w:rsidRPr="00211D94" w:rsidRDefault="00C43D33" w:rsidP="00F55865">
      <w:pPr>
        <w:numPr>
          <w:ilvl w:val="0"/>
          <w:numId w:val="6"/>
        </w:numPr>
        <w:spacing w:before="120" w:after="120"/>
        <w:rPr>
          <w:rFonts w:cs="Arial"/>
          <w:szCs w:val="24"/>
        </w:rPr>
      </w:pPr>
      <w:r w:rsidRPr="00211D94">
        <w:rPr>
          <w:rFonts w:cs="Arial"/>
          <w:szCs w:val="24"/>
        </w:rPr>
        <w:t>Forma finansowania – dotacja bezzwrotna</w:t>
      </w:r>
    </w:p>
    <w:p w14:paraId="255E46CC" w14:textId="77777777" w:rsidR="00C43D33" w:rsidRPr="00211D94" w:rsidRDefault="00C43D33" w:rsidP="00F55865">
      <w:pPr>
        <w:spacing w:before="120" w:after="120"/>
        <w:rPr>
          <w:rFonts w:cs="Arial"/>
          <w:szCs w:val="24"/>
        </w:rPr>
      </w:pPr>
      <w:r w:rsidRPr="00211D94">
        <w:rPr>
          <w:rFonts w:cs="Arial"/>
          <w:szCs w:val="24"/>
        </w:rPr>
        <w:t xml:space="preserve">W ramach OP12 realizowane były działania ukierunkowane na: </w:t>
      </w:r>
    </w:p>
    <w:p w14:paraId="2CCEBF20" w14:textId="77777777" w:rsidR="00C43D33" w:rsidRPr="00211D94" w:rsidRDefault="00C43D33" w:rsidP="00F55865">
      <w:pPr>
        <w:numPr>
          <w:ilvl w:val="0"/>
          <w:numId w:val="5"/>
        </w:numPr>
        <w:spacing w:before="120" w:after="120"/>
        <w:rPr>
          <w:rFonts w:cs="Arial"/>
          <w:szCs w:val="24"/>
        </w:rPr>
      </w:pPr>
      <w:r w:rsidRPr="00211D94">
        <w:rPr>
          <w:rFonts w:cs="Arial"/>
          <w:szCs w:val="24"/>
        </w:rPr>
        <w:t>zapewnienie niezbędnych zasobów ludzkich oraz warunków gwarantujących sprawne działanie instytucji zaangażowanych we wdrażanie RPO WP</w:t>
      </w:r>
    </w:p>
    <w:p w14:paraId="1286FF40" w14:textId="77777777" w:rsidR="00C43D33" w:rsidRPr="00211D94" w:rsidRDefault="00C43D33" w:rsidP="00F55865">
      <w:pPr>
        <w:numPr>
          <w:ilvl w:val="0"/>
          <w:numId w:val="5"/>
        </w:numPr>
        <w:spacing w:before="120" w:after="120"/>
        <w:rPr>
          <w:rFonts w:cs="Arial"/>
          <w:szCs w:val="24"/>
        </w:rPr>
      </w:pPr>
      <w:r w:rsidRPr="00211D94">
        <w:rPr>
          <w:rFonts w:cs="Arial"/>
          <w:szCs w:val="24"/>
        </w:rPr>
        <w:t>zapewnienie sprawnego i efektywnego systemu zarządzania RPO WP</w:t>
      </w:r>
    </w:p>
    <w:p w14:paraId="5FFAFECF" w14:textId="77777777" w:rsidR="00C43D33" w:rsidRPr="00211D94" w:rsidRDefault="00C43D33" w:rsidP="00F55865">
      <w:pPr>
        <w:numPr>
          <w:ilvl w:val="0"/>
          <w:numId w:val="5"/>
        </w:numPr>
        <w:spacing w:before="120" w:after="120"/>
        <w:rPr>
          <w:rFonts w:cs="Arial"/>
          <w:szCs w:val="24"/>
        </w:rPr>
      </w:pPr>
      <w:r w:rsidRPr="00211D94">
        <w:rPr>
          <w:rFonts w:cs="Arial"/>
          <w:szCs w:val="24"/>
        </w:rPr>
        <w:t xml:space="preserve">zwiększenie kompetencji beneficjentów w aplikowaniu o środki RPO WP. </w:t>
      </w:r>
    </w:p>
    <w:p w14:paraId="3B0E2CC2" w14:textId="77777777" w:rsidR="00C43D33" w:rsidRPr="00211D94" w:rsidRDefault="00C43D33" w:rsidP="00F55865">
      <w:pPr>
        <w:spacing w:before="120" w:after="120"/>
        <w:rPr>
          <w:rFonts w:cs="Arial"/>
          <w:szCs w:val="24"/>
        </w:rPr>
      </w:pPr>
      <w:r w:rsidRPr="00211D94">
        <w:rPr>
          <w:rFonts w:cs="Arial"/>
          <w:szCs w:val="24"/>
        </w:rPr>
        <w:t xml:space="preserve">Zgodnie z Tabelą 2C zostały osiągnięte wskaźniki rezultatu specyficzne </w:t>
      </w:r>
      <w:r w:rsidRPr="00211D94">
        <w:rPr>
          <w:rFonts w:cs="Arial"/>
          <w:szCs w:val="24"/>
        </w:rPr>
        <w:br/>
        <w:t>dla Programu tj.:</w:t>
      </w:r>
    </w:p>
    <w:p w14:paraId="29D7D4FC" w14:textId="77777777" w:rsidR="00C43D33" w:rsidRPr="00211D94" w:rsidRDefault="00C43D33" w:rsidP="00F55865">
      <w:pPr>
        <w:numPr>
          <w:ilvl w:val="0"/>
          <w:numId w:val="5"/>
        </w:numPr>
        <w:spacing w:before="120" w:after="120"/>
        <w:rPr>
          <w:rFonts w:cs="Arial"/>
          <w:szCs w:val="24"/>
        </w:rPr>
      </w:pPr>
      <w:r w:rsidRPr="00211D94">
        <w:rPr>
          <w:rFonts w:cs="Arial"/>
          <w:szCs w:val="24"/>
        </w:rPr>
        <w:t>Średni czas zatwierdzania projektu (od złożenia wniosku do podpisania umowy) – 334 dni,</w:t>
      </w:r>
    </w:p>
    <w:p w14:paraId="58129E76" w14:textId="77777777" w:rsidR="00C43D33" w:rsidRPr="00211D94" w:rsidRDefault="00C43D33" w:rsidP="00F55865">
      <w:pPr>
        <w:numPr>
          <w:ilvl w:val="0"/>
          <w:numId w:val="5"/>
        </w:numPr>
        <w:spacing w:before="120" w:after="120"/>
        <w:rPr>
          <w:rFonts w:cs="Arial"/>
          <w:szCs w:val="24"/>
        </w:rPr>
      </w:pPr>
      <w:r w:rsidRPr="00211D94">
        <w:rPr>
          <w:rFonts w:cs="Arial"/>
          <w:szCs w:val="24"/>
        </w:rPr>
        <w:t>Ocena przydatności form szkoleniowych dla beneficjentów – 4,62 w skali 1-5,</w:t>
      </w:r>
    </w:p>
    <w:p w14:paraId="264E7CA5" w14:textId="77777777" w:rsidR="00076126" w:rsidRPr="00211D94" w:rsidRDefault="00C43D33" w:rsidP="00076126">
      <w:pPr>
        <w:numPr>
          <w:ilvl w:val="0"/>
          <w:numId w:val="5"/>
        </w:numPr>
        <w:spacing w:before="120" w:after="120"/>
        <w:rPr>
          <w:rFonts w:cs="Arial"/>
          <w:szCs w:val="24"/>
        </w:rPr>
      </w:pPr>
      <w:r w:rsidRPr="00211D94">
        <w:rPr>
          <w:rFonts w:cs="Arial"/>
          <w:szCs w:val="24"/>
        </w:rPr>
        <w:t>Średnia ocena użyteczności systemu informatycznego – 4,51 w skali 1-5,</w:t>
      </w:r>
    </w:p>
    <w:p w14:paraId="48BE38DE" w14:textId="0CC30274" w:rsidR="00C43D33" w:rsidRPr="00211D94" w:rsidRDefault="00076126" w:rsidP="00076126">
      <w:pPr>
        <w:numPr>
          <w:ilvl w:val="0"/>
          <w:numId w:val="5"/>
        </w:numPr>
        <w:spacing w:before="120" w:after="120"/>
        <w:rPr>
          <w:rFonts w:cs="Arial"/>
          <w:szCs w:val="24"/>
        </w:rPr>
      </w:pPr>
      <w:r w:rsidRPr="00211D94">
        <w:t>Poziom fluktuacji pracowników w instytucjach zaangażowanych w politykę spójności wyniósł 6,03%, co jest niższym wynikiem niż planowane 7,2%. Oznacza to, że kadra w instytucjach</w:t>
      </w:r>
      <w:r w:rsidR="00147C67" w:rsidRPr="00211D94">
        <w:t xml:space="preserve"> odpowiedzialnych za wdrażanie Programu</w:t>
      </w:r>
      <w:r w:rsidRPr="00211D94">
        <w:t xml:space="preserve"> pozostaje stosunkowo stabilna, co może świadczyć o dobrych warunkach pracy i skutecznym zarządzaniu zasobami ludzkimi.</w:t>
      </w:r>
    </w:p>
    <w:p w14:paraId="3C0C7A16" w14:textId="0CE4EF6B" w:rsidR="005E6576" w:rsidRPr="00211D94" w:rsidRDefault="00C43D33" w:rsidP="00F55865">
      <w:pPr>
        <w:spacing w:before="120" w:after="120"/>
        <w:rPr>
          <w:rFonts w:cs="Arial"/>
          <w:szCs w:val="24"/>
        </w:rPr>
      </w:pPr>
      <w:r w:rsidRPr="00211D94">
        <w:rPr>
          <w:rFonts w:cs="Arial"/>
          <w:szCs w:val="24"/>
        </w:rPr>
        <w:t xml:space="preserve">Postęp rzeczowy został przedstawiony w tabelach 2A, 2C, 4A, 4B oraz w pkt. 11.1. </w:t>
      </w:r>
      <w:r w:rsidR="00345CDA" w:rsidRPr="00211D94">
        <w:rPr>
          <w:rFonts w:cs="Arial"/>
          <w:szCs w:val="24"/>
        </w:rPr>
        <w:t>sprawozdania</w:t>
      </w:r>
      <w:r w:rsidRPr="00211D94">
        <w:rPr>
          <w:rFonts w:cs="Arial"/>
          <w:szCs w:val="24"/>
        </w:rPr>
        <w:t xml:space="preserve">. </w:t>
      </w:r>
      <w:bookmarkEnd w:id="90"/>
    </w:p>
    <w:p w14:paraId="28B76E2A" w14:textId="77777777" w:rsidR="009732B9" w:rsidRPr="00211D94" w:rsidRDefault="009732B9" w:rsidP="00F55865">
      <w:pPr>
        <w:pStyle w:val="Nagwek3"/>
        <w:spacing w:before="120" w:after="120"/>
        <w:rPr>
          <w:rFonts w:cs="Arial"/>
        </w:rPr>
      </w:pPr>
      <w:bookmarkStart w:id="91" w:name="_Toc214025263"/>
      <w:r w:rsidRPr="00211D94">
        <w:rPr>
          <w:rFonts w:cs="Arial"/>
        </w:rPr>
        <w:t xml:space="preserve">3.1.13. Oś Priorytetowa 13. </w:t>
      </w:r>
      <w:bookmarkStart w:id="92" w:name="_Hlk212740049"/>
      <w:r w:rsidRPr="00211D94">
        <w:rPr>
          <w:rFonts w:cs="Arial"/>
        </w:rPr>
        <w:t>Odbudowa i odporność (REACT-EU)</w:t>
      </w:r>
      <w:bookmarkEnd w:id="91"/>
    </w:p>
    <w:bookmarkEnd w:id="92"/>
    <w:p w14:paraId="33C52F9E" w14:textId="77777777" w:rsidR="00895F0C" w:rsidRPr="00211D94" w:rsidRDefault="00895F0C" w:rsidP="00F55865">
      <w:pPr>
        <w:spacing w:before="120" w:after="120"/>
        <w:rPr>
          <w:rFonts w:cs="Arial"/>
          <w:szCs w:val="24"/>
        </w:rPr>
      </w:pPr>
      <w:r w:rsidRPr="00211D94">
        <w:rPr>
          <w:rFonts w:cs="Arial"/>
          <w:szCs w:val="24"/>
        </w:rPr>
        <w:t xml:space="preserve">Łącznie w okresie realizacji Programu: </w:t>
      </w:r>
    </w:p>
    <w:p w14:paraId="31CFA611" w14:textId="7CEBD492" w:rsidR="009732B9" w:rsidRPr="00211D94" w:rsidRDefault="009732B9" w:rsidP="00F55865">
      <w:pPr>
        <w:numPr>
          <w:ilvl w:val="0"/>
          <w:numId w:val="1"/>
        </w:numPr>
        <w:spacing w:before="120" w:after="120"/>
        <w:ind w:left="284" w:hanging="283"/>
        <w:rPr>
          <w:rFonts w:cs="Arial"/>
          <w:szCs w:val="24"/>
        </w:rPr>
      </w:pPr>
      <w:r w:rsidRPr="00211D94">
        <w:rPr>
          <w:rFonts w:cs="Arial"/>
          <w:szCs w:val="24"/>
        </w:rPr>
        <w:t>podpisano 1</w:t>
      </w:r>
      <w:r w:rsidR="006D5357" w:rsidRPr="00211D94">
        <w:rPr>
          <w:rFonts w:cs="Arial"/>
          <w:szCs w:val="24"/>
        </w:rPr>
        <w:t>4</w:t>
      </w:r>
      <w:r w:rsidRPr="00211D94">
        <w:rPr>
          <w:rFonts w:cs="Arial"/>
          <w:szCs w:val="24"/>
        </w:rPr>
        <w:t xml:space="preserve"> </w:t>
      </w:r>
      <w:proofErr w:type="spellStart"/>
      <w:r w:rsidRPr="00211D94">
        <w:rPr>
          <w:rFonts w:cs="Arial"/>
          <w:szCs w:val="24"/>
        </w:rPr>
        <w:t>UoD-dof.UE</w:t>
      </w:r>
      <w:proofErr w:type="spellEnd"/>
      <w:r w:rsidRPr="00211D94">
        <w:rPr>
          <w:rFonts w:cs="Arial"/>
          <w:szCs w:val="24"/>
        </w:rPr>
        <w:t xml:space="preserve"> </w:t>
      </w:r>
      <w:r w:rsidR="006D5357" w:rsidRPr="00211D94">
        <w:rPr>
          <w:rFonts w:cs="Arial"/>
          <w:szCs w:val="24"/>
        </w:rPr>
        <w:t>27,1</w:t>
      </w:r>
      <w:r w:rsidRPr="00211D94">
        <w:rPr>
          <w:rFonts w:cs="Arial"/>
          <w:szCs w:val="24"/>
        </w:rPr>
        <w:t xml:space="preserve"> mln EUR–</w:t>
      </w:r>
      <w:r w:rsidR="006D5357" w:rsidRPr="00211D94">
        <w:rPr>
          <w:rFonts w:cs="Arial"/>
          <w:szCs w:val="24"/>
        </w:rPr>
        <w:t>104,7</w:t>
      </w:r>
      <w:r w:rsidRPr="00211D94">
        <w:rPr>
          <w:rFonts w:cs="Arial"/>
          <w:szCs w:val="24"/>
        </w:rPr>
        <w:t xml:space="preserve">% alokacji, ogółem </w:t>
      </w:r>
      <w:r w:rsidR="006D5357" w:rsidRPr="00211D94">
        <w:rPr>
          <w:rFonts w:cs="Arial"/>
          <w:szCs w:val="24"/>
        </w:rPr>
        <w:t>34,7</w:t>
      </w:r>
      <w:r w:rsidRPr="00211D94">
        <w:rPr>
          <w:rFonts w:cs="Arial"/>
          <w:szCs w:val="24"/>
        </w:rPr>
        <w:t xml:space="preserve"> mln EUR</w:t>
      </w:r>
    </w:p>
    <w:p w14:paraId="0622AC14" w14:textId="73386095" w:rsidR="009732B9" w:rsidRPr="00211D94" w:rsidRDefault="009732B9" w:rsidP="00F55865">
      <w:pPr>
        <w:numPr>
          <w:ilvl w:val="0"/>
          <w:numId w:val="1"/>
        </w:numPr>
        <w:spacing w:before="120" w:after="120"/>
        <w:ind w:left="284" w:hanging="283"/>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w:t>
      </w:r>
      <w:r w:rsidR="006D5357" w:rsidRPr="00211D94">
        <w:rPr>
          <w:rFonts w:cs="Arial"/>
          <w:szCs w:val="24"/>
        </w:rPr>
        <w:t>27,1</w:t>
      </w:r>
      <w:r w:rsidRPr="00211D94">
        <w:rPr>
          <w:rFonts w:cs="Arial"/>
          <w:szCs w:val="24"/>
        </w:rPr>
        <w:t xml:space="preserve"> mln EUR–</w:t>
      </w:r>
      <w:r w:rsidR="006D5357" w:rsidRPr="00211D94">
        <w:rPr>
          <w:rFonts w:cs="Arial"/>
          <w:szCs w:val="24"/>
        </w:rPr>
        <w:t>104,7</w:t>
      </w:r>
      <w:r w:rsidRPr="00211D94">
        <w:rPr>
          <w:rFonts w:cs="Arial"/>
          <w:szCs w:val="24"/>
        </w:rPr>
        <w:t xml:space="preserve">% alokacji, ogółem </w:t>
      </w:r>
      <w:r w:rsidR="006D5357" w:rsidRPr="00211D94">
        <w:rPr>
          <w:rFonts w:cs="Arial"/>
          <w:szCs w:val="24"/>
        </w:rPr>
        <w:t>32,9</w:t>
      </w:r>
      <w:r w:rsidRPr="00211D94">
        <w:rPr>
          <w:rFonts w:cs="Arial"/>
          <w:szCs w:val="24"/>
        </w:rPr>
        <w:t xml:space="preserve"> mln EUR</w:t>
      </w:r>
    </w:p>
    <w:p w14:paraId="7B301CD5" w14:textId="227234BD" w:rsidR="009732B9" w:rsidRPr="00211D94" w:rsidRDefault="00076126" w:rsidP="00F55865">
      <w:pPr>
        <w:numPr>
          <w:ilvl w:val="0"/>
          <w:numId w:val="1"/>
        </w:numPr>
        <w:spacing w:before="120" w:after="120"/>
        <w:ind w:left="284" w:hanging="283"/>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9732B9" w:rsidRPr="00211D94">
        <w:rPr>
          <w:rFonts w:cs="Arial"/>
          <w:szCs w:val="24"/>
        </w:rPr>
        <w:t xml:space="preserve"> </w:t>
      </w:r>
      <w:r w:rsidR="006D5357" w:rsidRPr="00211D94">
        <w:rPr>
          <w:rFonts w:cs="Arial"/>
          <w:szCs w:val="24"/>
        </w:rPr>
        <w:t>25,9</w:t>
      </w:r>
      <w:r w:rsidR="009732B9" w:rsidRPr="00211D94">
        <w:rPr>
          <w:rFonts w:cs="Arial"/>
          <w:szCs w:val="24"/>
        </w:rPr>
        <w:t xml:space="preserve"> mln EUR–</w:t>
      </w:r>
      <w:r w:rsidR="006D5357" w:rsidRPr="00211D94">
        <w:rPr>
          <w:rFonts w:cs="Arial"/>
          <w:szCs w:val="24"/>
        </w:rPr>
        <w:t>100,0</w:t>
      </w:r>
      <w:r w:rsidR="009732B9" w:rsidRPr="00211D94">
        <w:rPr>
          <w:rFonts w:cs="Arial"/>
          <w:szCs w:val="24"/>
        </w:rPr>
        <w:t xml:space="preserve">% alokacji, </w:t>
      </w:r>
      <w:r w:rsidR="006C7A2D" w:rsidRPr="00211D94">
        <w:rPr>
          <w:rFonts w:cs="Arial"/>
          <w:szCs w:val="24"/>
        </w:rPr>
        <w:t>łączna wartość wydatków kwalifikowalnych wyniosła</w:t>
      </w:r>
      <w:r w:rsidR="009732B9" w:rsidRPr="00211D94">
        <w:rPr>
          <w:rFonts w:cs="Arial"/>
          <w:szCs w:val="24"/>
        </w:rPr>
        <w:t xml:space="preserve"> </w:t>
      </w:r>
      <w:r w:rsidR="006D5357" w:rsidRPr="00211D94">
        <w:rPr>
          <w:rFonts w:cs="Arial"/>
          <w:szCs w:val="24"/>
        </w:rPr>
        <w:t>31,7</w:t>
      </w:r>
      <w:r w:rsidR="009732B9" w:rsidRPr="00211D94">
        <w:rPr>
          <w:rFonts w:cs="Arial"/>
          <w:szCs w:val="24"/>
        </w:rPr>
        <w:t xml:space="preserve"> mln EUR. </w:t>
      </w:r>
    </w:p>
    <w:p w14:paraId="7FCEFF9A" w14:textId="77777777" w:rsidR="009732B9" w:rsidRPr="00211D94" w:rsidRDefault="009732B9" w:rsidP="00F55865">
      <w:pPr>
        <w:spacing w:before="120" w:after="120"/>
        <w:rPr>
          <w:rFonts w:cs="Arial"/>
          <w:szCs w:val="24"/>
        </w:rPr>
      </w:pPr>
      <w:r w:rsidRPr="00211D94">
        <w:rPr>
          <w:rFonts w:cs="Arial"/>
          <w:szCs w:val="24"/>
        </w:rPr>
        <w:t>Charakterystyka projektów</w:t>
      </w:r>
    </w:p>
    <w:p w14:paraId="4330AA43" w14:textId="2A8B5D10" w:rsidR="009732B9" w:rsidRPr="00211D94" w:rsidRDefault="009732B9" w:rsidP="00F55865">
      <w:pPr>
        <w:numPr>
          <w:ilvl w:val="0"/>
          <w:numId w:val="6"/>
        </w:numPr>
        <w:spacing w:before="120" w:after="120"/>
        <w:ind w:left="357" w:hanging="357"/>
        <w:rPr>
          <w:rFonts w:cs="Arial"/>
          <w:szCs w:val="24"/>
        </w:rPr>
      </w:pPr>
      <w:r w:rsidRPr="00211D94">
        <w:rPr>
          <w:rFonts w:cs="Arial"/>
          <w:szCs w:val="24"/>
        </w:rPr>
        <w:t>JST (</w:t>
      </w:r>
      <w:r w:rsidR="00A14F24" w:rsidRPr="00211D94">
        <w:rPr>
          <w:rFonts w:cs="Arial"/>
          <w:szCs w:val="24"/>
        </w:rPr>
        <w:t>71,4</w:t>
      </w:r>
      <w:r w:rsidRPr="00211D94">
        <w:rPr>
          <w:rFonts w:cs="Arial"/>
          <w:szCs w:val="24"/>
        </w:rPr>
        <w:t>%), przedsiębiorstwa (</w:t>
      </w:r>
      <w:r w:rsidR="00A14F24" w:rsidRPr="00211D94">
        <w:rPr>
          <w:rFonts w:cs="Arial"/>
          <w:szCs w:val="24"/>
        </w:rPr>
        <w:t>21,4</w:t>
      </w:r>
      <w:r w:rsidRPr="00211D94">
        <w:rPr>
          <w:rFonts w:cs="Arial"/>
          <w:szCs w:val="24"/>
        </w:rPr>
        <w:t>%), NGO (</w:t>
      </w:r>
      <w:r w:rsidR="00A14F24" w:rsidRPr="00211D94">
        <w:rPr>
          <w:rFonts w:cs="Arial"/>
          <w:szCs w:val="24"/>
        </w:rPr>
        <w:t>7</w:t>
      </w:r>
      <w:r w:rsidRPr="00211D94">
        <w:rPr>
          <w:rFonts w:cs="Arial"/>
          <w:szCs w:val="24"/>
        </w:rPr>
        <w:t>,</w:t>
      </w:r>
      <w:r w:rsidR="00A14F24" w:rsidRPr="00211D94">
        <w:rPr>
          <w:rFonts w:cs="Arial"/>
          <w:szCs w:val="24"/>
        </w:rPr>
        <w:t>2</w:t>
      </w:r>
      <w:r w:rsidRPr="00211D94">
        <w:rPr>
          <w:rFonts w:cs="Arial"/>
          <w:szCs w:val="24"/>
        </w:rPr>
        <w:t>%)</w:t>
      </w:r>
    </w:p>
    <w:p w14:paraId="3F7DFEC3" w14:textId="12703E18" w:rsidR="00E13825" w:rsidRPr="00211D94" w:rsidRDefault="00E13825" w:rsidP="00F55865">
      <w:pPr>
        <w:numPr>
          <w:ilvl w:val="0"/>
          <w:numId w:val="6"/>
        </w:numPr>
        <w:spacing w:before="120" w:after="120"/>
        <w:rPr>
          <w:rFonts w:cs="Arial"/>
          <w:szCs w:val="24"/>
        </w:rPr>
      </w:pPr>
      <w:r w:rsidRPr="00211D94">
        <w:rPr>
          <w:rFonts w:cs="Arial"/>
          <w:szCs w:val="24"/>
        </w:rPr>
        <w:t xml:space="preserve">Główne rodzaje dział. gosp.: </w:t>
      </w:r>
      <w:r w:rsidR="00345CDA" w:rsidRPr="00211D94">
        <w:rPr>
          <w:rFonts w:cs="Arial"/>
          <w:szCs w:val="24"/>
        </w:rPr>
        <w:t>e</w:t>
      </w:r>
      <w:r w:rsidRPr="00211D94">
        <w:rPr>
          <w:rFonts w:cs="Arial"/>
          <w:szCs w:val="24"/>
        </w:rPr>
        <w:t>nergia elektryczna, paliwa gazowe, para wodna, gorąca woda i powietrze do układów klimatyzacyjnych; opieka zdrowotna</w:t>
      </w:r>
    </w:p>
    <w:p w14:paraId="6A361500" w14:textId="55754B39" w:rsidR="00E13825" w:rsidRPr="00211D94" w:rsidRDefault="009732B9" w:rsidP="00F55865">
      <w:pPr>
        <w:pStyle w:val="Akapitzlist"/>
        <w:numPr>
          <w:ilvl w:val="0"/>
          <w:numId w:val="6"/>
        </w:numPr>
        <w:spacing w:before="120" w:after="120" w:line="276" w:lineRule="auto"/>
        <w:contextualSpacing w:val="0"/>
        <w:rPr>
          <w:rFonts w:cs="Arial"/>
          <w:szCs w:val="24"/>
        </w:rPr>
      </w:pPr>
      <w:r w:rsidRPr="00211D94">
        <w:rPr>
          <w:rFonts w:cs="Arial"/>
          <w:szCs w:val="24"/>
        </w:rPr>
        <w:t xml:space="preserve">Główne PKD Beneficjentów: </w:t>
      </w:r>
      <w:r w:rsidR="00E13825" w:rsidRPr="00211D94">
        <w:rPr>
          <w:rFonts w:cs="Arial"/>
          <w:szCs w:val="24"/>
        </w:rPr>
        <w:t>84.13.Z</w:t>
      </w:r>
    </w:p>
    <w:p w14:paraId="5A592263" w14:textId="4A43C8E9" w:rsidR="009732B9" w:rsidRPr="00211D94" w:rsidRDefault="00E13825" w:rsidP="00F55865">
      <w:pPr>
        <w:pStyle w:val="Akapitzlist"/>
        <w:numPr>
          <w:ilvl w:val="0"/>
          <w:numId w:val="6"/>
        </w:numPr>
        <w:spacing w:before="120" w:after="120" w:line="276" w:lineRule="auto"/>
        <w:contextualSpacing w:val="0"/>
        <w:rPr>
          <w:rFonts w:cs="Arial"/>
          <w:szCs w:val="24"/>
        </w:rPr>
      </w:pPr>
      <w:r w:rsidRPr="00211D94">
        <w:rPr>
          <w:rFonts w:cs="Arial"/>
          <w:szCs w:val="24"/>
        </w:rPr>
        <w:t>42,9</w:t>
      </w:r>
      <w:r w:rsidR="009732B9" w:rsidRPr="00211D94">
        <w:rPr>
          <w:rFonts w:cs="Arial"/>
          <w:szCs w:val="24"/>
        </w:rPr>
        <w:t>% projektów na obszarach miejskich</w:t>
      </w:r>
    </w:p>
    <w:p w14:paraId="2889065C" w14:textId="29195244" w:rsidR="009732B9" w:rsidRPr="00211D94" w:rsidRDefault="00E13825" w:rsidP="00F55865">
      <w:pPr>
        <w:numPr>
          <w:ilvl w:val="0"/>
          <w:numId w:val="6"/>
        </w:numPr>
        <w:spacing w:before="120" w:after="120"/>
        <w:rPr>
          <w:rFonts w:cs="Arial"/>
          <w:szCs w:val="24"/>
        </w:rPr>
      </w:pPr>
      <w:r w:rsidRPr="00211D94">
        <w:rPr>
          <w:rFonts w:cs="Arial"/>
          <w:szCs w:val="24"/>
        </w:rPr>
        <w:t>42,9</w:t>
      </w:r>
      <w:r w:rsidR="009732B9" w:rsidRPr="00211D94">
        <w:rPr>
          <w:rFonts w:cs="Arial"/>
          <w:szCs w:val="24"/>
        </w:rPr>
        <w:t>% projektów na obszarach wiejskich</w:t>
      </w:r>
    </w:p>
    <w:p w14:paraId="12C036C3" w14:textId="30BB9771" w:rsidR="0079763C" w:rsidRPr="00211D94" w:rsidRDefault="0079763C" w:rsidP="00F55865">
      <w:pPr>
        <w:spacing w:before="120" w:after="120"/>
        <w:rPr>
          <w:rFonts w:cs="Arial"/>
          <w:szCs w:val="24"/>
        </w:rPr>
      </w:pPr>
      <w:r w:rsidRPr="00211D94">
        <w:rPr>
          <w:rFonts w:cs="Arial"/>
          <w:szCs w:val="24"/>
        </w:rPr>
        <w:t xml:space="preserve">Postęp rzeczowy został przedstawiony w tabelach 3A oraz w pkt. 11.1. </w:t>
      </w:r>
      <w:r w:rsidR="00345CDA" w:rsidRPr="00211D94">
        <w:rPr>
          <w:rFonts w:cs="Arial"/>
          <w:szCs w:val="24"/>
        </w:rPr>
        <w:t>sprawozdania</w:t>
      </w:r>
      <w:r w:rsidRPr="00211D94">
        <w:rPr>
          <w:rFonts w:cs="Arial"/>
          <w:szCs w:val="24"/>
        </w:rPr>
        <w:t>.</w:t>
      </w:r>
    </w:p>
    <w:p w14:paraId="1FDFDDDC" w14:textId="5F637AEA" w:rsidR="006733A8" w:rsidRPr="00211D94" w:rsidRDefault="006733A8" w:rsidP="00F55865">
      <w:pPr>
        <w:pStyle w:val="Nagwek3"/>
        <w:spacing w:before="120" w:after="120"/>
        <w:rPr>
          <w:rFonts w:cs="Arial"/>
          <w:color w:val="FFFFFF" w:themeColor="background1"/>
        </w:rPr>
      </w:pPr>
      <w:bookmarkStart w:id="93" w:name="_Toc214025264"/>
      <w:r w:rsidRPr="00211D94">
        <w:rPr>
          <w:rFonts w:cs="Arial"/>
          <w:color w:val="FFFFFF" w:themeColor="background1"/>
        </w:rPr>
        <w:t>3.1.</w:t>
      </w:r>
      <w:r w:rsidR="009732B9" w:rsidRPr="00211D94">
        <w:rPr>
          <w:rFonts w:cs="Arial"/>
          <w:color w:val="FFFFFF" w:themeColor="background1"/>
        </w:rPr>
        <w:t>14</w:t>
      </w:r>
      <w:r w:rsidRPr="00211D94">
        <w:rPr>
          <w:rFonts w:cs="Arial"/>
          <w:color w:val="FFFFFF" w:themeColor="background1"/>
        </w:rPr>
        <w:t xml:space="preserve">. Oś Priorytetowa 14. Integracja </w:t>
      </w:r>
      <w:r w:rsidR="00CF0BC9" w:rsidRPr="00211D94">
        <w:rPr>
          <w:rFonts w:cs="Arial"/>
          <w:color w:val="FFFFFF" w:themeColor="background1"/>
        </w:rPr>
        <w:t>i</w:t>
      </w:r>
      <w:r w:rsidRPr="00211D94">
        <w:rPr>
          <w:rFonts w:cs="Arial"/>
          <w:color w:val="FFFFFF" w:themeColor="background1"/>
        </w:rPr>
        <w:t>migrantów</w:t>
      </w:r>
      <w:bookmarkEnd w:id="93"/>
    </w:p>
    <w:p w14:paraId="1FB7C6E3" w14:textId="77777777" w:rsidR="00214BA9" w:rsidRPr="00211D94" w:rsidRDefault="00E0050F" w:rsidP="00F55865">
      <w:pPr>
        <w:spacing w:before="120" w:after="120"/>
        <w:ind w:left="1"/>
        <w:rPr>
          <w:rFonts w:cs="Arial"/>
          <w:szCs w:val="24"/>
        </w:rPr>
      </w:pPr>
      <w:r w:rsidRPr="00211D94">
        <w:rPr>
          <w:rFonts w:cs="Arial"/>
          <w:szCs w:val="24"/>
        </w:rPr>
        <w:t xml:space="preserve">Łącznie </w:t>
      </w:r>
      <w:r w:rsidR="00214BA9" w:rsidRPr="00211D94">
        <w:rPr>
          <w:rFonts w:cs="Arial"/>
          <w:szCs w:val="24"/>
        </w:rPr>
        <w:t>w okresie realizacji Programu:</w:t>
      </w:r>
    </w:p>
    <w:p w14:paraId="3DE205A3" w14:textId="61679CD0" w:rsidR="00214BA9" w:rsidRPr="00211D94" w:rsidRDefault="00214BA9" w:rsidP="00F55865">
      <w:pPr>
        <w:numPr>
          <w:ilvl w:val="0"/>
          <w:numId w:val="1"/>
        </w:numPr>
        <w:spacing w:before="120" w:after="120"/>
        <w:rPr>
          <w:rFonts w:cs="Arial"/>
          <w:szCs w:val="24"/>
        </w:rPr>
      </w:pPr>
      <w:r w:rsidRPr="00211D94">
        <w:rPr>
          <w:rFonts w:cs="Arial"/>
          <w:szCs w:val="24"/>
        </w:rPr>
        <w:t xml:space="preserve">podpisano 3 </w:t>
      </w:r>
      <w:proofErr w:type="spellStart"/>
      <w:r w:rsidRPr="00211D94">
        <w:rPr>
          <w:rFonts w:cs="Arial"/>
          <w:szCs w:val="24"/>
        </w:rPr>
        <w:t>UoD-dof.UE</w:t>
      </w:r>
      <w:proofErr w:type="spellEnd"/>
      <w:r w:rsidRPr="00211D94">
        <w:rPr>
          <w:rFonts w:cs="Arial"/>
          <w:szCs w:val="24"/>
        </w:rPr>
        <w:t xml:space="preserve"> 6</w:t>
      </w:r>
      <w:r w:rsidR="00EC7B98" w:rsidRPr="00211D94">
        <w:rPr>
          <w:rFonts w:cs="Arial"/>
          <w:szCs w:val="24"/>
        </w:rPr>
        <w:t>,0</w:t>
      </w:r>
      <w:r w:rsidRPr="00211D94">
        <w:rPr>
          <w:rFonts w:cs="Arial"/>
          <w:szCs w:val="24"/>
        </w:rPr>
        <w:t xml:space="preserve"> mln EUR–</w:t>
      </w:r>
      <w:r w:rsidR="00EC7B98" w:rsidRPr="00211D94">
        <w:rPr>
          <w:rFonts w:cs="Arial"/>
          <w:szCs w:val="24"/>
        </w:rPr>
        <w:t>110,3</w:t>
      </w:r>
      <w:r w:rsidRPr="00211D94">
        <w:rPr>
          <w:rFonts w:cs="Arial"/>
          <w:szCs w:val="24"/>
        </w:rPr>
        <w:t>% alokacji, ogółem 7,</w:t>
      </w:r>
      <w:r w:rsidR="00EC7B98" w:rsidRPr="00211D94">
        <w:rPr>
          <w:rFonts w:cs="Arial"/>
          <w:szCs w:val="24"/>
        </w:rPr>
        <w:t>1</w:t>
      </w:r>
      <w:r w:rsidRPr="00211D94">
        <w:rPr>
          <w:rFonts w:cs="Arial"/>
          <w:szCs w:val="24"/>
        </w:rPr>
        <w:t xml:space="preserve"> mln EUR </w:t>
      </w:r>
    </w:p>
    <w:p w14:paraId="22FF2492" w14:textId="19001ECF" w:rsidR="00214BA9" w:rsidRPr="00211D94" w:rsidRDefault="00214BA9" w:rsidP="00F55865">
      <w:pPr>
        <w:numPr>
          <w:ilvl w:val="0"/>
          <w:numId w:val="1"/>
        </w:numPr>
        <w:spacing w:before="120" w:after="120"/>
        <w:rPr>
          <w:rFonts w:cs="Arial"/>
          <w:szCs w:val="24"/>
        </w:rPr>
      </w:pPr>
      <w:r w:rsidRPr="00211D94">
        <w:rPr>
          <w:rFonts w:cs="Arial"/>
          <w:szCs w:val="24"/>
        </w:rPr>
        <w:t xml:space="preserve">zatwierdzono </w:t>
      </w:r>
      <w:proofErr w:type="spellStart"/>
      <w:r w:rsidRPr="00211D94">
        <w:rPr>
          <w:rFonts w:cs="Arial"/>
          <w:szCs w:val="24"/>
        </w:rPr>
        <w:t>WoP</w:t>
      </w:r>
      <w:proofErr w:type="spellEnd"/>
      <w:r w:rsidRPr="00211D94">
        <w:rPr>
          <w:rFonts w:cs="Arial"/>
          <w:szCs w:val="24"/>
        </w:rPr>
        <w:t xml:space="preserve"> o </w:t>
      </w:r>
      <w:proofErr w:type="spellStart"/>
      <w:r w:rsidRPr="00211D94">
        <w:rPr>
          <w:rFonts w:cs="Arial"/>
          <w:szCs w:val="24"/>
        </w:rPr>
        <w:t>dof.UE</w:t>
      </w:r>
      <w:proofErr w:type="spellEnd"/>
      <w:r w:rsidRPr="00211D94">
        <w:rPr>
          <w:rFonts w:cs="Arial"/>
          <w:szCs w:val="24"/>
        </w:rPr>
        <w:t xml:space="preserve"> 5,8 mln EUR–</w:t>
      </w:r>
      <w:r w:rsidR="00EC7B98" w:rsidRPr="00211D94">
        <w:rPr>
          <w:rFonts w:cs="Arial"/>
          <w:szCs w:val="24"/>
        </w:rPr>
        <w:t>107,3</w:t>
      </w:r>
      <w:r w:rsidRPr="00211D94">
        <w:rPr>
          <w:rFonts w:cs="Arial"/>
          <w:szCs w:val="24"/>
        </w:rPr>
        <w:t>% alokacji, ogółem 6,</w:t>
      </w:r>
      <w:r w:rsidR="00EC7B98" w:rsidRPr="00211D94">
        <w:rPr>
          <w:rFonts w:cs="Arial"/>
          <w:szCs w:val="24"/>
        </w:rPr>
        <w:t>9</w:t>
      </w:r>
      <w:r w:rsidRPr="00211D94">
        <w:rPr>
          <w:rFonts w:cs="Arial"/>
          <w:szCs w:val="24"/>
        </w:rPr>
        <w:t xml:space="preserve"> mln EUR</w:t>
      </w:r>
    </w:p>
    <w:p w14:paraId="312AAD29" w14:textId="125E0689" w:rsidR="00214BA9" w:rsidRPr="00211D94" w:rsidRDefault="00076126" w:rsidP="00F55865">
      <w:pPr>
        <w:numPr>
          <w:ilvl w:val="0"/>
          <w:numId w:val="1"/>
        </w:numPr>
        <w:spacing w:before="120" w:after="120"/>
        <w:rPr>
          <w:rFonts w:cs="Arial"/>
          <w:szCs w:val="24"/>
        </w:rPr>
      </w:pPr>
      <w:r w:rsidRPr="00211D94">
        <w:rPr>
          <w:rFonts w:cs="Arial"/>
          <w:szCs w:val="24"/>
        </w:rPr>
        <w:t>certyfikowano</w:t>
      </w:r>
      <w:r w:rsidR="0003429A" w:rsidRPr="00211D94">
        <w:rPr>
          <w:rFonts w:cs="Arial"/>
          <w:szCs w:val="24"/>
        </w:rPr>
        <w:t xml:space="preserve"> kwotę </w:t>
      </w:r>
      <w:proofErr w:type="spellStart"/>
      <w:r w:rsidR="0003429A" w:rsidRPr="00211D94">
        <w:rPr>
          <w:rFonts w:cs="Arial"/>
          <w:szCs w:val="24"/>
        </w:rPr>
        <w:t>dof.UE</w:t>
      </w:r>
      <w:proofErr w:type="spellEnd"/>
      <w:r w:rsidR="00214BA9" w:rsidRPr="00211D94">
        <w:rPr>
          <w:rFonts w:cs="Arial"/>
          <w:szCs w:val="24"/>
        </w:rPr>
        <w:t xml:space="preserve"> </w:t>
      </w:r>
      <w:r w:rsidR="00EC7B98" w:rsidRPr="00211D94">
        <w:rPr>
          <w:rFonts w:cs="Arial"/>
          <w:szCs w:val="24"/>
        </w:rPr>
        <w:t>5</w:t>
      </w:r>
      <w:r w:rsidR="00214BA9" w:rsidRPr="00211D94">
        <w:rPr>
          <w:rFonts w:cs="Arial"/>
          <w:szCs w:val="24"/>
        </w:rPr>
        <w:t>,4 mln EUR–</w:t>
      </w:r>
      <w:r w:rsidR="00EC7B98" w:rsidRPr="00211D94">
        <w:rPr>
          <w:rFonts w:cs="Arial"/>
          <w:szCs w:val="24"/>
        </w:rPr>
        <w:t>100,0</w:t>
      </w:r>
      <w:r w:rsidR="00214BA9" w:rsidRPr="00211D94">
        <w:rPr>
          <w:rFonts w:cs="Arial"/>
          <w:szCs w:val="24"/>
        </w:rPr>
        <w:t xml:space="preserve">% alokacji, </w:t>
      </w:r>
      <w:r w:rsidR="006C7A2D" w:rsidRPr="00211D94">
        <w:rPr>
          <w:rFonts w:cs="Arial"/>
          <w:szCs w:val="24"/>
        </w:rPr>
        <w:t>łączna wartość wydatków kwalifikowalnych wyniosła</w:t>
      </w:r>
      <w:r w:rsidR="00214BA9" w:rsidRPr="00211D94">
        <w:rPr>
          <w:rFonts w:cs="Arial"/>
          <w:szCs w:val="24"/>
        </w:rPr>
        <w:t xml:space="preserve"> 6,7 mln EUR</w:t>
      </w:r>
    </w:p>
    <w:p w14:paraId="4D41D99B" w14:textId="77777777" w:rsidR="00214BA9" w:rsidRPr="00211D94" w:rsidRDefault="00214BA9" w:rsidP="00F55865">
      <w:pPr>
        <w:spacing w:before="120" w:after="120"/>
        <w:ind w:left="1"/>
        <w:rPr>
          <w:rFonts w:cs="Arial"/>
          <w:szCs w:val="24"/>
        </w:rPr>
      </w:pPr>
      <w:r w:rsidRPr="00211D94">
        <w:rPr>
          <w:rFonts w:cs="Arial"/>
          <w:szCs w:val="24"/>
        </w:rPr>
        <w:t>Charakterystyka projektów:</w:t>
      </w:r>
    </w:p>
    <w:p w14:paraId="7245F5BC" w14:textId="001A64AF" w:rsidR="00214BA9" w:rsidRPr="00211D94" w:rsidRDefault="00214BA9" w:rsidP="00F55865">
      <w:pPr>
        <w:numPr>
          <w:ilvl w:val="0"/>
          <w:numId w:val="6"/>
        </w:numPr>
        <w:spacing w:before="120" w:after="120"/>
        <w:rPr>
          <w:rFonts w:cs="Arial"/>
          <w:szCs w:val="24"/>
        </w:rPr>
      </w:pPr>
      <w:r w:rsidRPr="00211D94">
        <w:rPr>
          <w:rFonts w:cs="Arial"/>
          <w:szCs w:val="24"/>
        </w:rPr>
        <w:t>JST (100%)</w:t>
      </w:r>
    </w:p>
    <w:p w14:paraId="00F112C1" w14:textId="77777777" w:rsidR="00214BA9" w:rsidRPr="00211D94" w:rsidRDefault="00214BA9" w:rsidP="00F55865">
      <w:pPr>
        <w:numPr>
          <w:ilvl w:val="0"/>
          <w:numId w:val="6"/>
        </w:numPr>
        <w:spacing w:before="120" w:after="120"/>
        <w:rPr>
          <w:rFonts w:cs="Arial"/>
          <w:szCs w:val="24"/>
        </w:rPr>
      </w:pPr>
      <w:r w:rsidRPr="00211D94">
        <w:rPr>
          <w:rFonts w:cs="Arial"/>
          <w:szCs w:val="24"/>
        </w:rPr>
        <w:t>Główne rodzaje dział. gosp.: administracja publiczna; edukacja</w:t>
      </w:r>
    </w:p>
    <w:p w14:paraId="3B69277E" w14:textId="77777777" w:rsidR="00214BA9" w:rsidRPr="00211D94" w:rsidRDefault="00214BA9" w:rsidP="00F55865">
      <w:pPr>
        <w:numPr>
          <w:ilvl w:val="0"/>
          <w:numId w:val="6"/>
        </w:numPr>
        <w:spacing w:before="120" w:after="120"/>
        <w:rPr>
          <w:rFonts w:cs="Arial"/>
          <w:szCs w:val="24"/>
        </w:rPr>
      </w:pPr>
      <w:r w:rsidRPr="00211D94">
        <w:rPr>
          <w:rFonts w:cs="Arial"/>
          <w:szCs w:val="24"/>
        </w:rPr>
        <w:t>Główne PKD Beneficjentów: O.84.11.Z, P.85.60.Z</w:t>
      </w:r>
    </w:p>
    <w:p w14:paraId="4C1CDB26" w14:textId="77777777" w:rsidR="00214BA9" w:rsidRPr="00211D94" w:rsidRDefault="00214BA9" w:rsidP="00F55865">
      <w:pPr>
        <w:numPr>
          <w:ilvl w:val="0"/>
          <w:numId w:val="6"/>
        </w:numPr>
        <w:spacing w:before="120" w:after="120"/>
        <w:rPr>
          <w:rFonts w:cs="Arial"/>
          <w:szCs w:val="24"/>
        </w:rPr>
      </w:pPr>
      <w:r w:rsidRPr="00211D94">
        <w:rPr>
          <w:rFonts w:cs="Arial"/>
          <w:szCs w:val="24"/>
        </w:rPr>
        <w:t>100% projektów na obszarach miejskich</w:t>
      </w:r>
    </w:p>
    <w:p w14:paraId="6C9744BE" w14:textId="77777777" w:rsidR="00076ED5" w:rsidRPr="00211D94" w:rsidRDefault="00076ED5" w:rsidP="00076ED5">
      <w:pPr>
        <w:spacing w:before="120" w:after="120"/>
        <w:rPr>
          <w:rFonts w:cs="Arial"/>
          <w:szCs w:val="24"/>
        </w:rPr>
      </w:pPr>
      <w:r w:rsidRPr="00211D94">
        <w:rPr>
          <w:rFonts w:cs="Arial"/>
          <w:szCs w:val="24"/>
        </w:rPr>
        <w:t>Ramy wykonania</w:t>
      </w:r>
    </w:p>
    <w:p w14:paraId="02351DB8" w14:textId="77777777" w:rsidR="00076ED5" w:rsidRPr="00211D94" w:rsidRDefault="00076ED5" w:rsidP="00076ED5">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4AC1D683" w14:textId="3C2D815F" w:rsidR="00076ED5" w:rsidRPr="00211D94" w:rsidRDefault="00076ED5" w:rsidP="00076ED5">
      <w:pPr>
        <w:pStyle w:val="Akapitzlist"/>
        <w:numPr>
          <w:ilvl w:val="0"/>
          <w:numId w:val="38"/>
        </w:numPr>
        <w:spacing w:before="120" w:after="120" w:line="276" w:lineRule="auto"/>
        <w:ind w:left="284" w:hanging="284"/>
        <w:contextualSpacing w:val="0"/>
        <w:rPr>
          <w:rFonts w:cs="Arial"/>
          <w:szCs w:val="24"/>
        </w:rPr>
      </w:pPr>
      <w:r w:rsidRPr="00211D94">
        <w:rPr>
          <w:rFonts w:cs="Arial"/>
          <w:szCs w:val="24"/>
        </w:rPr>
        <w:t>Całkowita liczba osób objętych wsparciem - 201,5% wartości docelowej na 2023r.</w:t>
      </w:r>
    </w:p>
    <w:p w14:paraId="3F9C5C8C" w14:textId="125560B4" w:rsidR="00076ED5" w:rsidRPr="00211D94" w:rsidRDefault="00076ED5" w:rsidP="006E7150">
      <w:pPr>
        <w:pStyle w:val="Akapitzlist"/>
        <w:numPr>
          <w:ilvl w:val="0"/>
          <w:numId w:val="38"/>
        </w:numPr>
        <w:spacing w:before="120" w:after="120" w:line="276" w:lineRule="auto"/>
        <w:ind w:left="284" w:hanging="284"/>
        <w:contextualSpacing w:val="0"/>
        <w:rPr>
          <w:rFonts w:cs="Arial"/>
          <w:szCs w:val="24"/>
        </w:rPr>
      </w:pPr>
      <w:r w:rsidRPr="00211D94">
        <w:rPr>
          <w:rFonts w:eastAsia="CIDFont+F2" w:cs="Arial"/>
          <w:szCs w:val="24"/>
          <w:lang w:eastAsia="pl-PL"/>
        </w:rPr>
        <w:t xml:space="preserve">Całkowita kwota certyfikowanych wydatków kwalifikowalnych- 105,3% </w:t>
      </w:r>
      <w:r w:rsidRPr="00211D94">
        <w:rPr>
          <w:rFonts w:cs="Arial"/>
          <w:szCs w:val="24"/>
        </w:rPr>
        <w:t>wartości docelowej na 2023r.</w:t>
      </w:r>
    </w:p>
    <w:p w14:paraId="0A1025F6" w14:textId="4847B819" w:rsidR="00214BA9" w:rsidRPr="00211D94" w:rsidRDefault="00214BA9" w:rsidP="00F55865">
      <w:pPr>
        <w:spacing w:before="120" w:after="120"/>
        <w:ind w:left="1"/>
        <w:rPr>
          <w:rFonts w:cs="Arial"/>
          <w:szCs w:val="24"/>
        </w:rPr>
      </w:pPr>
      <w:r w:rsidRPr="00211D94">
        <w:rPr>
          <w:rFonts w:cs="Arial"/>
          <w:szCs w:val="24"/>
        </w:rPr>
        <w:t xml:space="preserve">Postęp rzeczowy został przedstawiony w tabelach 2A, 2C, 4A, 4B, 5 oraz w pkt. 11.1. </w:t>
      </w:r>
      <w:r w:rsidR="00345CDA" w:rsidRPr="00211D94">
        <w:rPr>
          <w:rFonts w:cs="Arial"/>
          <w:szCs w:val="24"/>
        </w:rPr>
        <w:t>sprawozdania</w:t>
      </w:r>
      <w:r w:rsidRPr="00211D94">
        <w:rPr>
          <w:rFonts w:cs="Arial"/>
          <w:szCs w:val="24"/>
        </w:rPr>
        <w:t xml:space="preserve">. </w:t>
      </w:r>
    </w:p>
    <w:p w14:paraId="519CE625" w14:textId="4BE63917" w:rsidR="00557289" w:rsidRPr="00211D94" w:rsidRDefault="00447EF2" w:rsidP="00F55865">
      <w:pPr>
        <w:pStyle w:val="Nagwek2"/>
        <w:spacing w:before="120" w:after="120"/>
        <w:rPr>
          <w:rFonts w:cs="Arial"/>
          <w:color w:val="FFFFFF" w:themeColor="background1"/>
        </w:rPr>
      </w:pPr>
      <w:bookmarkStart w:id="94" w:name="_Toc214025265"/>
      <w:r w:rsidRPr="00211D94">
        <w:rPr>
          <w:rFonts w:cs="Arial"/>
          <w:color w:val="FFFFFF" w:themeColor="background1"/>
        </w:rPr>
        <w:t>3.2</w:t>
      </w:r>
      <w:r w:rsidR="008102E9" w:rsidRPr="00211D94">
        <w:rPr>
          <w:rFonts w:cs="Arial"/>
          <w:color w:val="FFFFFF" w:themeColor="background1"/>
        </w:rPr>
        <w:t xml:space="preserve">. </w:t>
      </w:r>
      <w:r w:rsidRPr="00211D94">
        <w:rPr>
          <w:rFonts w:cs="Arial"/>
          <w:color w:val="FFFFFF" w:themeColor="background1"/>
        </w:rPr>
        <w:t>Wspólne wskaźniki i wskaźniki specyficzne dla programu (art.</w:t>
      </w:r>
      <w:r w:rsidR="003D710A" w:rsidRPr="00211D94">
        <w:rPr>
          <w:rFonts w:cs="Arial"/>
          <w:color w:val="FFFFFF" w:themeColor="background1"/>
        </w:rPr>
        <w:t> </w:t>
      </w:r>
      <w:r w:rsidRPr="00211D94">
        <w:rPr>
          <w:rFonts w:cs="Arial"/>
          <w:color w:val="FFFFFF" w:themeColor="background1"/>
        </w:rPr>
        <w:t xml:space="preserve">50 ust. 2 rozporządzenia </w:t>
      </w:r>
      <w:r w:rsidR="00726583" w:rsidRPr="00211D94">
        <w:rPr>
          <w:rFonts w:cs="Arial"/>
          <w:color w:val="FFFFFF" w:themeColor="background1"/>
        </w:rPr>
        <w:t>ogólnego</w:t>
      </w:r>
      <w:r w:rsidR="00A9175B" w:rsidRPr="00211D94">
        <w:rPr>
          <w:rFonts w:cs="Arial"/>
          <w:color w:val="FFFFFF" w:themeColor="background1"/>
        </w:rPr>
        <w:t>)</w:t>
      </w:r>
      <w:bookmarkEnd w:id="94"/>
    </w:p>
    <w:p w14:paraId="68710E84" w14:textId="642AE5AB" w:rsidR="00C865FF" w:rsidRPr="00211D94" w:rsidRDefault="00C865FF" w:rsidP="00F55865">
      <w:pPr>
        <w:spacing w:before="120" w:after="120"/>
        <w:rPr>
          <w:rFonts w:cs="Arial"/>
        </w:rPr>
      </w:pPr>
      <w:r w:rsidRPr="00211D94">
        <w:rPr>
          <w:rFonts w:cs="Arial"/>
        </w:rPr>
        <w:t xml:space="preserve">Stopień realizacji wskaźników wspólnych i specyficznych dla Programu został przedstawiony w Załączniku do niniejszego </w:t>
      </w:r>
      <w:r w:rsidR="00345CDA" w:rsidRPr="00211D94">
        <w:rPr>
          <w:rFonts w:cs="Arial"/>
        </w:rPr>
        <w:t>sprawozdania</w:t>
      </w:r>
      <w:r w:rsidRPr="00211D94">
        <w:rPr>
          <w:rFonts w:cs="Arial"/>
        </w:rPr>
        <w:t xml:space="preserve"> (Tabele 1-4B).</w:t>
      </w:r>
    </w:p>
    <w:p w14:paraId="29571F74" w14:textId="5A290BC2" w:rsidR="004D42C9" w:rsidRPr="00211D94" w:rsidRDefault="004D42C9" w:rsidP="00F55865">
      <w:pPr>
        <w:pStyle w:val="Nagwek2"/>
        <w:spacing w:before="120" w:after="120"/>
        <w:rPr>
          <w:rFonts w:cs="Arial"/>
          <w:color w:val="FFFFFF" w:themeColor="background1"/>
        </w:rPr>
      </w:pPr>
      <w:bookmarkStart w:id="95" w:name="_Toc214025266"/>
      <w:r w:rsidRPr="00211D94">
        <w:rPr>
          <w:rFonts w:cs="Arial"/>
          <w:color w:val="FFFFFF" w:themeColor="background1"/>
        </w:rPr>
        <w:t>3.3.</w:t>
      </w:r>
      <w:r w:rsidRPr="00211D94">
        <w:rPr>
          <w:rFonts w:cs="Arial"/>
          <w:color w:val="FFFFFF" w:themeColor="background1"/>
          <w:sz w:val="24"/>
          <w:szCs w:val="24"/>
        </w:rPr>
        <w:t xml:space="preserve"> </w:t>
      </w:r>
      <w:r w:rsidRPr="00211D94">
        <w:rPr>
          <w:rFonts w:cs="Arial"/>
          <w:color w:val="FFFFFF" w:themeColor="background1"/>
        </w:rPr>
        <w:t>Cele pośrednie i końcowe określone w ramach wykonania</w:t>
      </w:r>
      <w:r w:rsidR="003D710A" w:rsidRPr="00211D94">
        <w:rPr>
          <w:rFonts w:cs="Arial"/>
          <w:color w:val="FFFFFF" w:themeColor="background1"/>
        </w:rPr>
        <w:t> </w:t>
      </w:r>
      <w:r w:rsidRPr="00211D94">
        <w:rPr>
          <w:rFonts w:cs="Arial"/>
          <w:color w:val="FFFFFF" w:themeColor="background1"/>
        </w:rPr>
        <w:t>(art.</w:t>
      </w:r>
      <w:r w:rsidR="003D710A" w:rsidRPr="00211D94">
        <w:rPr>
          <w:rFonts w:cs="Arial"/>
          <w:color w:val="FFFFFF" w:themeColor="background1"/>
        </w:rPr>
        <w:t> </w:t>
      </w:r>
      <w:r w:rsidRPr="00211D94">
        <w:rPr>
          <w:rFonts w:cs="Arial"/>
          <w:color w:val="FFFFFF" w:themeColor="background1"/>
        </w:rPr>
        <w:t xml:space="preserve">50 ust. 2 rozporządzenia </w:t>
      </w:r>
      <w:r w:rsidR="00726583" w:rsidRPr="00211D94">
        <w:rPr>
          <w:rFonts w:cs="Arial"/>
          <w:color w:val="FFFFFF" w:themeColor="background1"/>
        </w:rPr>
        <w:t>ogólnego</w:t>
      </w:r>
      <w:r w:rsidR="00A9175B" w:rsidRPr="00211D94">
        <w:rPr>
          <w:rFonts w:cs="Arial"/>
          <w:color w:val="FFFFFF" w:themeColor="background1"/>
        </w:rPr>
        <w:t>)</w:t>
      </w:r>
      <w:r w:rsidR="00726583" w:rsidRPr="00211D94">
        <w:rPr>
          <w:rFonts w:cs="Arial"/>
          <w:color w:val="FFFFFF" w:themeColor="background1"/>
        </w:rPr>
        <w:t xml:space="preserve"> </w:t>
      </w:r>
      <w:r w:rsidR="00B06BBB" w:rsidRPr="00211D94">
        <w:rPr>
          <w:rFonts w:cs="Arial"/>
          <w:color w:val="FFFFFF" w:themeColor="background1"/>
        </w:rPr>
        <w:t>– przedkładane w rocznych sprawozdaniach z wdrażania począwszy od 2017 r.</w:t>
      </w:r>
      <w:bookmarkEnd w:id="95"/>
    </w:p>
    <w:p w14:paraId="5B8EB5A3" w14:textId="5D643F90" w:rsidR="00C865FF" w:rsidRPr="00211D94" w:rsidRDefault="00C865FF" w:rsidP="00F55865">
      <w:pPr>
        <w:spacing w:before="120" w:after="120"/>
        <w:rPr>
          <w:rFonts w:cs="Arial"/>
          <w:color w:val="00B0F0"/>
        </w:rPr>
      </w:pPr>
      <w:r w:rsidRPr="00211D94">
        <w:rPr>
          <w:rFonts w:cs="Arial"/>
        </w:rPr>
        <w:t xml:space="preserve">Cele pośrednie i końcowe określone w ramach wykonania zostały przedstawione w Załączniku do niniejszego </w:t>
      </w:r>
      <w:r w:rsidR="00345CDA" w:rsidRPr="00211D94">
        <w:rPr>
          <w:rFonts w:cs="Arial"/>
        </w:rPr>
        <w:t>sprawozdania</w:t>
      </w:r>
      <w:r w:rsidRPr="00211D94">
        <w:rPr>
          <w:rFonts w:cs="Arial"/>
        </w:rPr>
        <w:t xml:space="preserve"> (Tabela 5).</w:t>
      </w:r>
    </w:p>
    <w:p w14:paraId="36B244BC" w14:textId="73B4FA99" w:rsidR="00F72A5E" w:rsidRPr="00211D94" w:rsidRDefault="00F72A5E" w:rsidP="00F55865">
      <w:pPr>
        <w:pStyle w:val="Nagwek2"/>
        <w:spacing w:before="120" w:after="120"/>
        <w:rPr>
          <w:rFonts w:cs="Arial"/>
          <w:color w:val="FFFFFF" w:themeColor="background1"/>
        </w:rPr>
      </w:pPr>
      <w:bookmarkStart w:id="96" w:name="_Toc214025267"/>
      <w:r w:rsidRPr="00211D94">
        <w:rPr>
          <w:rFonts w:cs="Arial"/>
          <w:color w:val="FFFFFF" w:themeColor="background1"/>
        </w:rPr>
        <w:t>3.4.</w:t>
      </w:r>
      <w:r w:rsidR="008102E9" w:rsidRPr="00211D94">
        <w:rPr>
          <w:rFonts w:cs="Arial"/>
          <w:color w:val="FFFFFF" w:themeColor="background1"/>
        </w:rPr>
        <w:t xml:space="preserve"> </w:t>
      </w:r>
      <w:r w:rsidRPr="00211D94">
        <w:rPr>
          <w:rFonts w:cs="Arial"/>
          <w:color w:val="FFFFFF" w:themeColor="background1"/>
        </w:rPr>
        <w:t xml:space="preserve">Dane finansowe (art. 50 ust. 2 rozporządzenia </w:t>
      </w:r>
      <w:r w:rsidR="00726583" w:rsidRPr="00211D94">
        <w:rPr>
          <w:rFonts w:cs="Arial"/>
          <w:color w:val="FFFFFF" w:themeColor="background1"/>
        </w:rPr>
        <w:t>ogólnego</w:t>
      </w:r>
      <w:r w:rsidR="00A9175B" w:rsidRPr="00211D94">
        <w:rPr>
          <w:rFonts w:cs="Arial"/>
          <w:color w:val="FFFFFF" w:themeColor="background1"/>
        </w:rPr>
        <w:t>)</w:t>
      </w:r>
      <w:bookmarkEnd w:id="96"/>
      <w:r w:rsidR="00726583" w:rsidRPr="00211D94">
        <w:rPr>
          <w:rFonts w:cs="Arial"/>
          <w:color w:val="FFFFFF" w:themeColor="background1"/>
        </w:rPr>
        <w:t xml:space="preserve"> </w:t>
      </w:r>
    </w:p>
    <w:p w14:paraId="45AC5C9E" w14:textId="1949F6DF" w:rsidR="00C865FF" w:rsidRPr="00211D94" w:rsidRDefault="00C865FF" w:rsidP="00F55865">
      <w:pPr>
        <w:pStyle w:val="ti-grseq-1"/>
        <w:spacing w:before="120" w:beforeAutospacing="0" w:after="120" w:afterAutospacing="0" w:line="276" w:lineRule="auto"/>
        <w:rPr>
          <w:rFonts w:ascii="Arial" w:hAnsi="Arial" w:cs="Arial"/>
        </w:rPr>
      </w:pPr>
      <w:r w:rsidRPr="00211D94">
        <w:rPr>
          <w:rFonts w:ascii="Arial" w:hAnsi="Arial" w:cs="Arial"/>
        </w:rPr>
        <w:t xml:space="preserve">Dane finansowe zostały przedstawione w Załączniku do niniejszego </w:t>
      </w:r>
      <w:r w:rsidR="00345CDA" w:rsidRPr="00211D94">
        <w:rPr>
          <w:rFonts w:ascii="Arial" w:hAnsi="Arial" w:cs="Arial"/>
        </w:rPr>
        <w:t>sprawozdania</w:t>
      </w:r>
      <w:r w:rsidRPr="00211D94">
        <w:rPr>
          <w:rFonts w:ascii="Arial" w:hAnsi="Arial" w:cs="Arial"/>
        </w:rPr>
        <w:t xml:space="preserve"> (Tabele 6-11).</w:t>
      </w:r>
    </w:p>
    <w:p w14:paraId="596D002B" w14:textId="081F2B8E" w:rsidR="00C865FF" w:rsidRPr="00211D94" w:rsidRDefault="00C865FF" w:rsidP="00F55865">
      <w:pPr>
        <w:pStyle w:val="ti-grseq-1"/>
        <w:spacing w:before="120" w:beforeAutospacing="0" w:after="120" w:afterAutospacing="0" w:line="276" w:lineRule="auto"/>
        <w:jc w:val="both"/>
        <w:rPr>
          <w:rStyle w:val="italic"/>
          <w:rFonts w:ascii="Arial" w:eastAsia="Calibri" w:hAnsi="Arial" w:cs="Arial"/>
          <w:szCs w:val="22"/>
          <w:lang w:eastAsia="en-US"/>
        </w:rPr>
      </w:pPr>
      <w:r w:rsidRPr="00211D94">
        <w:rPr>
          <w:rStyle w:val="italic"/>
          <w:rFonts w:ascii="Arial" w:hAnsi="Arial" w:cs="Arial"/>
        </w:rPr>
        <w:t>Dane zamieszczane w tabeli 6 i 7 są tożsame z danymi przesyłanymi do KE do dnia 31 stycznia w związku z wypełnieniem art. 112 ust. 1 i 2 rozporządzenia ogólnego.</w:t>
      </w:r>
    </w:p>
    <w:p w14:paraId="3AA6E164" w14:textId="00FEB9B8" w:rsidR="00720698" w:rsidRPr="00211D94" w:rsidRDefault="003D710A" w:rsidP="00F55865">
      <w:pPr>
        <w:pStyle w:val="Nagwek1"/>
        <w:spacing w:before="120" w:after="120"/>
        <w:rPr>
          <w:rFonts w:cs="Arial"/>
          <w:color w:val="FFFFFF" w:themeColor="background1"/>
        </w:rPr>
      </w:pPr>
      <w:bookmarkStart w:id="97" w:name="_Toc214025268"/>
      <w:r w:rsidRPr="00211D94">
        <w:rPr>
          <w:rFonts w:cs="Arial"/>
          <w:color w:val="FFFFFF" w:themeColor="background1"/>
        </w:rPr>
        <w:t xml:space="preserve">4. </w:t>
      </w:r>
      <w:r w:rsidR="008102E9" w:rsidRPr="00211D94">
        <w:rPr>
          <w:rFonts w:cs="Arial"/>
          <w:color w:val="FFFFFF" w:themeColor="background1"/>
        </w:rPr>
        <w:t xml:space="preserve">Podsumowanie przeprowadzonych ewaluacji </w:t>
      </w:r>
      <w:r w:rsidR="00F72A5E" w:rsidRPr="00211D94">
        <w:rPr>
          <w:rFonts w:cs="Arial"/>
          <w:color w:val="FFFFFF" w:themeColor="background1"/>
        </w:rPr>
        <w:t xml:space="preserve">(art. 50 ust. 2 rozporządzenia </w:t>
      </w:r>
      <w:r w:rsidR="00726583" w:rsidRPr="00211D94">
        <w:rPr>
          <w:rFonts w:cs="Arial"/>
          <w:color w:val="FFFFFF" w:themeColor="background1"/>
        </w:rPr>
        <w:t>ogólnego</w:t>
      </w:r>
      <w:r w:rsidR="00A9175B" w:rsidRPr="00211D94">
        <w:rPr>
          <w:rFonts w:cs="Arial"/>
          <w:color w:val="FFFFFF" w:themeColor="background1"/>
        </w:rPr>
        <w:t>)</w:t>
      </w:r>
      <w:bookmarkEnd w:id="97"/>
    </w:p>
    <w:p w14:paraId="08BD84A2" w14:textId="0B45692B" w:rsidR="008C6CE6" w:rsidRPr="00211D94" w:rsidRDefault="008C6CE6" w:rsidP="00F55865">
      <w:pPr>
        <w:spacing w:before="120" w:after="120"/>
        <w:rPr>
          <w:rFonts w:cs="Arial"/>
          <w:szCs w:val="24"/>
        </w:rPr>
      </w:pPr>
      <w:r w:rsidRPr="00211D94">
        <w:rPr>
          <w:rFonts w:cs="Arial"/>
          <w:szCs w:val="24"/>
        </w:rPr>
        <w:t xml:space="preserve">W 2023 r. zakończono realizację dziewięciu badań ewaluacyjnych dotyczących </w:t>
      </w:r>
      <w:r w:rsidR="00E13825" w:rsidRPr="00211D94">
        <w:rPr>
          <w:rFonts w:cs="Arial"/>
          <w:szCs w:val="24"/>
        </w:rPr>
        <w:t>RPO</w:t>
      </w:r>
      <w:r w:rsidRPr="00211D94">
        <w:rPr>
          <w:rFonts w:cs="Arial"/>
          <w:szCs w:val="24"/>
        </w:rPr>
        <w:t>, natomiast w 2024 r. zakończono dwa kolejne badania. Analizie poddano szereg obszarów interwencji: aktywność zawodową i edukacyjną, wsparcie przedsiębiorstw w zakresie B+R, konkurencyjności, innowacyjności i internacjonalizacji, zdrowie i e-zdrowie, rewitalizację zdegradowanych obszarów miejskich, transport, energię, turystykę oraz kulturę, a także włączenie społeczne. Poniżej przedstawiono syntetyczne wyniki poszczególnych badań wraz z określeniem okresu realizacji oraz wykonawcy.</w:t>
      </w:r>
    </w:p>
    <w:p w14:paraId="6995EBC7" w14:textId="77777777" w:rsidR="008C6CE6" w:rsidRPr="00211D94" w:rsidRDefault="008C6CE6" w:rsidP="00F55865">
      <w:pPr>
        <w:spacing w:before="120" w:after="120"/>
        <w:rPr>
          <w:rFonts w:cs="Arial"/>
          <w:b/>
          <w:szCs w:val="24"/>
        </w:rPr>
      </w:pPr>
      <w:r w:rsidRPr="00211D94">
        <w:rPr>
          <w:rFonts w:cs="Arial"/>
          <w:b/>
          <w:szCs w:val="24"/>
        </w:rPr>
        <w:t>I. Rynek pracy i edukacja</w:t>
      </w:r>
    </w:p>
    <w:p w14:paraId="37832296" w14:textId="6CB8A053"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 xml:space="preserve">„Ocena wpływu realizacji RPO WP 2014–2020 na wybrane wskaźniki rezultatu” (2018–2023, ASM </w:t>
      </w:r>
      <w:proofErr w:type="spellStart"/>
      <w:r w:rsidRPr="00211D94">
        <w:rPr>
          <w:rFonts w:cs="Arial"/>
          <w:szCs w:val="24"/>
        </w:rPr>
        <w:t>Research</w:t>
      </w:r>
      <w:proofErr w:type="spellEnd"/>
      <w:r w:rsidRPr="00211D94">
        <w:rPr>
          <w:rFonts w:cs="Arial"/>
          <w:szCs w:val="24"/>
        </w:rPr>
        <w:t xml:space="preserve"> Solutions </w:t>
      </w:r>
      <w:proofErr w:type="spellStart"/>
      <w:r w:rsidRPr="00211D94">
        <w:rPr>
          <w:rFonts w:cs="Arial"/>
          <w:szCs w:val="24"/>
        </w:rPr>
        <w:t>Strategy</w:t>
      </w:r>
      <w:proofErr w:type="spellEnd"/>
      <w:r w:rsidRPr="00211D94">
        <w:rPr>
          <w:rFonts w:cs="Arial"/>
          <w:szCs w:val="24"/>
        </w:rPr>
        <w:t>)</w:t>
      </w:r>
    </w:p>
    <w:p w14:paraId="3CD2A08C" w14:textId="77777777" w:rsidR="008C6CE6" w:rsidRPr="00211D94" w:rsidRDefault="008C6CE6" w:rsidP="00F55865">
      <w:pPr>
        <w:spacing w:before="120" w:after="120"/>
        <w:rPr>
          <w:rFonts w:cs="Arial"/>
          <w:szCs w:val="24"/>
        </w:rPr>
      </w:pPr>
      <w:r w:rsidRPr="00211D94">
        <w:rPr>
          <w:rFonts w:cs="Arial"/>
          <w:szCs w:val="24"/>
        </w:rPr>
        <w:t>Cel: oszacowanie wartości wskaźnika uczestników znajdujących się w lepszej sytuacji na rynku pracy sześć miesięcy po zakończeniu udziału w Programie oraz weryfikacja trwałości interwencji w obszarze usług społecznych i edukacyjnych.</w:t>
      </w:r>
    </w:p>
    <w:p w14:paraId="7765DC58" w14:textId="77777777" w:rsidR="008C6CE6" w:rsidRPr="00211D94" w:rsidRDefault="008C6CE6" w:rsidP="00F55865">
      <w:pPr>
        <w:spacing w:before="120" w:after="120"/>
        <w:rPr>
          <w:rFonts w:cs="Arial"/>
          <w:szCs w:val="24"/>
        </w:rPr>
      </w:pPr>
      <w:r w:rsidRPr="00211D94">
        <w:rPr>
          <w:rFonts w:cs="Arial"/>
          <w:szCs w:val="24"/>
        </w:rPr>
        <w:t>Wyniki: pierwszy pomiar objął uczestników projektów pracujących w momencie udzielania wsparcia – poprawę sytuacji zawodowej odnotowało ok. 17% badanych, szczególnie w obszarze kształcenia ustawicznego i działań adaptacyjnych rynku pracy. Drugi pomiar poszerzono o analizę trwałości miejsc opieki żłobkowej; odsetek osób poprawiających sytuację na rynku pracy wzrósł do 22,5%, przy czym lepsze wyniki osiągały osoby młodsze oraz korzystające ze szkoleń i kursów. Trwałość wsparcia w zakresie opieki żłobkowej wyniosła 77,6%. Trzeci pomiar potwierdził dalszą poprawę wskaźnika – 26,9% uczestników znalazło się w lepszej sytuacji zawodowej, z wyższymi rezultatami wśród mężczyzn i osób młodych, a w pełni utrzymana została trwałość miejsc wychowania przedszkolnego.</w:t>
      </w:r>
    </w:p>
    <w:p w14:paraId="19C312BC" w14:textId="77777777" w:rsidR="008C6CE6" w:rsidRPr="00211D94" w:rsidRDefault="008C6CE6" w:rsidP="00F55865">
      <w:pPr>
        <w:spacing w:before="120" w:after="120"/>
        <w:rPr>
          <w:rFonts w:cs="Arial"/>
          <w:szCs w:val="24"/>
        </w:rPr>
      </w:pPr>
      <w:r w:rsidRPr="00211D94">
        <w:rPr>
          <w:rFonts w:cs="Arial"/>
          <w:szCs w:val="24"/>
        </w:rPr>
        <w:t>Wnioski: interwencje RPO WP skutecznie podnosiły jakość zatrudnienia i kompetencji uczestników, szczególnie w obszarach edukacyjnych i aktywizacyjnych. Trwałość rezultatów społecznych i infrastrukturalnych była wyższa niż zakładano, co potwierdza skuteczność działań w perspektywie długoterminowej.</w:t>
      </w:r>
    </w:p>
    <w:p w14:paraId="6BB26606" w14:textId="327362E6"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skuteczności i efektywności wsparcia Osi Priorytetowej 5 Zatrudnienie” (2023, Re-Source)</w:t>
      </w:r>
    </w:p>
    <w:p w14:paraId="3600E912" w14:textId="77777777" w:rsidR="008C6CE6" w:rsidRPr="00211D94" w:rsidRDefault="008C6CE6" w:rsidP="00F55865">
      <w:pPr>
        <w:spacing w:before="120" w:after="120"/>
        <w:rPr>
          <w:rFonts w:cs="Arial"/>
          <w:szCs w:val="24"/>
        </w:rPr>
      </w:pPr>
      <w:r w:rsidRPr="00211D94">
        <w:rPr>
          <w:rFonts w:cs="Arial"/>
          <w:szCs w:val="24"/>
        </w:rPr>
        <w:t>Cel: ocena wpływu wsparcia EFS na aktywność zawodową i edukacyjną osób bezrobotnych, zagrożonych biernością zawodową oraz wymagających wsparcia w godzeniu życia zawodowego i prywatnego. Analizie poddano projekty w zakresie zatrudnienia, przedsiębiorczości, opieki nad dziećmi do lat 3, adaptacyjności oraz kształcenia ustawicznego.</w:t>
      </w:r>
    </w:p>
    <w:p w14:paraId="5BFA18CD" w14:textId="489A6D44" w:rsidR="008C6CE6" w:rsidRPr="00211D94" w:rsidRDefault="008C6CE6" w:rsidP="00F55865">
      <w:pPr>
        <w:spacing w:before="120" w:after="120"/>
        <w:rPr>
          <w:rFonts w:cs="Arial"/>
          <w:szCs w:val="24"/>
        </w:rPr>
      </w:pPr>
      <w:r w:rsidRPr="00211D94">
        <w:rPr>
          <w:rFonts w:cs="Arial"/>
          <w:szCs w:val="24"/>
        </w:rPr>
        <w:t xml:space="preserve">Wyniki: wsparcie obejmowało szkolenia, staże, doradztwo zawodowe, dotacje na rozpoczęcie działalności gospodarczej oraz tworzenie nowych miejsc opieki nad dziećmi. Projekty dotyczące kształcenia ustawicznego obejmowały kursy zawodowe, językowe oraz TIK, rozwijając kompetencje osób pracujących. W zakresie adaptacyjności oferowano doradztwo, kursy, staże i wsparcie psychologiczne. Interwencje przyczyniły się do zwiększenia szans </w:t>
      </w:r>
      <w:r w:rsidR="00345CDA" w:rsidRPr="00211D94">
        <w:rPr>
          <w:rFonts w:cs="Arial"/>
          <w:szCs w:val="24"/>
        </w:rPr>
        <w:t xml:space="preserve">na aktywizację zawodową </w:t>
      </w:r>
      <w:r w:rsidRPr="00211D94">
        <w:rPr>
          <w:rFonts w:cs="Arial"/>
          <w:szCs w:val="24"/>
        </w:rPr>
        <w:t>osób w trudnej sytuacji na rynku pracy.</w:t>
      </w:r>
    </w:p>
    <w:p w14:paraId="24965255" w14:textId="77777777" w:rsidR="008C6CE6" w:rsidRPr="00211D94" w:rsidRDefault="008C6CE6" w:rsidP="00F55865">
      <w:pPr>
        <w:spacing w:before="120" w:after="120"/>
        <w:rPr>
          <w:rFonts w:cs="Arial"/>
          <w:szCs w:val="24"/>
        </w:rPr>
      </w:pPr>
      <w:r w:rsidRPr="00211D94">
        <w:rPr>
          <w:rFonts w:cs="Arial"/>
          <w:szCs w:val="24"/>
        </w:rPr>
        <w:t>Wnioski: konieczne jest dalsze rozwijanie zindywidualizowanego wsparcia, w tym doradztwa i pomocy psychologicznej, dopasowane do specyfiki grup docelowych. Wskazano także na znaczenie wysokiej jakości usług edukacyjnych i doradczych oraz partnerstw międzysektorowych, które zwiększają trwałość i efektywność rezultatów projektów.</w:t>
      </w:r>
    </w:p>
    <w:p w14:paraId="35E142E6" w14:textId="77777777" w:rsidR="008C6CE6" w:rsidRPr="00211D94" w:rsidRDefault="008C6CE6" w:rsidP="00F55865">
      <w:pPr>
        <w:spacing w:before="120" w:after="120"/>
        <w:rPr>
          <w:rFonts w:cs="Arial"/>
          <w:b/>
          <w:szCs w:val="24"/>
        </w:rPr>
      </w:pPr>
      <w:r w:rsidRPr="00211D94">
        <w:rPr>
          <w:rFonts w:cs="Arial"/>
          <w:b/>
          <w:szCs w:val="24"/>
        </w:rPr>
        <w:t>II. Wsparcie przedsiębiorczości i innowacji</w:t>
      </w:r>
    </w:p>
    <w:p w14:paraId="1DD037FD" w14:textId="74C0DBB2"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wsparcia działalności B+R oraz konkurencyjności, innowacyjności i internacjonalizacji MŚP” (2023, LB&amp;E i EGO)</w:t>
      </w:r>
    </w:p>
    <w:p w14:paraId="5800B4DC" w14:textId="77777777" w:rsidR="008C6CE6" w:rsidRPr="00211D94" w:rsidRDefault="008C6CE6" w:rsidP="00F55865">
      <w:pPr>
        <w:spacing w:before="120" w:after="120"/>
        <w:rPr>
          <w:rFonts w:cs="Arial"/>
          <w:szCs w:val="24"/>
        </w:rPr>
      </w:pPr>
      <w:r w:rsidRPr="00211D94">
        <w:rPr>
          <w:rFonts w:cs="Arial"/>
          <w:szCs w:val="24"/>
        </w:rPr>
        <w:t>Cel: kompleksowa ocena efektów wsparcia działalności B+R, MŚP, instytucji otoczenia biznesu oraz działań związanych z przeciwdziałaniem skutkom pandemii COVID-19.</w:t>
      </w:r>
    </w:p>
    <w:p w14:paraId="2E272E7F" w14:textId="77777777" w:rsidR="008C6CE6" w:rsidRPr="00211D94" w:rsidRDefault="008C6CE6" w:rsidP="00F55865">
      <w:pPr>
        <w:spacing w:before="120" w:after="120"/>
        <w:rPr>
          <w:rFonts w:cs="Arial"/>
          <w:szCs w:val="24"/>
        </w:rPr>
      </w:pPr>
      <w:r w:rsidRPr="00211D94">
        <w:rPr>
          <w:rFonts w:cs="Arial"/>
          <w:szCs w:val="24"/>
        </w:rPr>
        <w:t>Wyniki: interwencje zwiększyły aktywność B+R przedsiębiorstw – zrealizowano 182 projekty w ramach PI 1b oraz inwestycje w infrastrukturę badawczą jednostek naukowych (PI 1a). Wsparcie MŚP (PI 3c) poprawiło konkurencyjność poprzez inwestycje profilowane umożliwiające wdrożenie innowacji produktowych i procesowych. Projekty dotyczące internacjonalizacji, w tym Pomorski Broker Eksportowy, przyczyniły się do wzrostu eksportu przedsiębiorstw. System wsparcia instytucji otoczenia biznesu, np. SPEKTRUM i Invest in Pomerania, wzmocnił warunki rozwoju MŚP. Elastyczne działania w okresie pandemii wsparły utrzymanie płynności finansowej przedsiębiorstw.</w:t>
      </w:r>
    </w:p>
    <w:p w14:paraId="302F780F" w14:textId="77777777" w:rsidR="008C6CE6" w:rsidRPr="00211D94" w:rsidRDefault="008C6CE6" w:rsidP="00F55865">
      <w:pPr>
        <w:spacing w:before="120" w:after="120"/>
        <w:rPr>
          <w:rFonts w:cs="Arial"/>
          <w:szCs w:val="24"/>
        </w:rPr>
      </w:pPr>
      <w:r w:rsidRPr="00211D94">
        <w:rPr>
          <w:rFonts w:cs="Arial"/>
          <w:szCs w:val="24"/>
        </w:rPr>
        <w:t>Wnioski: zarekomendowano kontynuację wsparcia B+R, wdrażanie elastycznych instrumentów finansowych dla MŚP oraz dalsze wzmacnianie instytucji otoczenia biznesu.</w:t>
      </w:r>
    </w:p>
    <w:p w14:paraId="281D9A96" w14:textId="44BFBA00"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 xml:space="preserve">„Ocena ex </w:t>
      </w:r>
      <w:proofErr w:type="spellStart"/>
      <w:r w:rsidRPr="00211D94">
        <w:rPr>
          <w:rFonts w:cs="Arial"/>
          <w:szCs w:val="24"/>
        </w:rPr>
        <w:t>ante</w:t>
      </w:r>
      <w:proofErr w:type="spellEnd"/>
      <w:r w:rsidRPr="00211D94">
        <w:rPr>
          <w:rFonts w:cs="Arial"/>
          <w:szCs w:val="24"/>
        </w:rPr>
        <w:t xml:space="preserve"> instrumentów finansowych” (2014–2023, Policy &amp; Action </w:t>
      </w:r>
      <w:proofErr w:type="spellStart"/>
      <w:r w:rsidRPr="00211D94">
        <w:rPr>
          <w:rFonts w:cs="Arial"/>
          <w:szCs w:val="24"/>
        </w:rPr>
        <w:t>Group</w:t>
      </w:r>
      <w:proofErr w:type="spellEnd"/>
      <w:r w:rsidRPr="00211D94">
        <w:rPr>
          <w:rFonts w:cs="Arial"/>
          <w:szCs w:val="24"/>
        </w:rPr>
        <w:t xml:space="preserve"> </w:t>
      </w:r>
      <w:proofErr w:type="spellStart"/>
      <w:r w:rsidRPr="00211D94">
        <w:rPr>
          <w:rFonts w:cs="Arial"/>
          <w:szCs w:val="24"/>
        </w:rPr>
        <w:t>Uniconsult</w:t>
      </w:r>
      <w:proofErr w:type="spellEnd"/>
      <w:r w:rsidRPr="00211D94">
        <w:rPr>
          <w:rFonts w:cs="Arial"/>
          <w:szCs w:val="24"/>
        </w:rPr>
        <w:t xml:space="preserve"> i </w:t>
      </w:r>
      <w:proofErr w:type="spellStart"/>
      <w:r w:rsidRPr="00211D94">
        <w:rPr>
          <w:rFonts w:cs="Arial"/>
          <w:szCs w:val="24"/>
        </w:rPr>
        <w:t>Imapp</w:t>
      </w:r>
      <w:proofErr w:type="spellEnd"/>
      <w:r w:rsidRPr="00211D94">
        <w:rPr>
          <w:rFonts w:cs="Arial"/>
          <w:szCs w:val="24"/>
        </w:rPr>
        <w:t xml:space="preserve"> Consulting)</w:t>
      </w:r>
    </w:p>
    <w:p w14:paraId="12C03CBE" w14:textId="77777777" w:rsidR="008C6CE6" w:rsidRPr="00211D94" w:rsidRDefault="008C6CE6" w:rsidP="00F55865">
      <w:pPr>
        <w:spacing w:before="120" w:after="120"/>
        <w:rPr>
          <w:rFonts w:cs="Arial"/>
          <w:szCs w:val="24"/>
        </w:rPr>
      </w:pPr>
      <w:r w:rsidRPr="00211D94">
        <w:rPr>
          <w:rFonts w:cs="Arial"/>
          <w:szCs w:val="24"/>
        </w:rPr>
        <w:t>Cel: analiza zasadności, zakresu i kierunków stosowania instrumentów finansowych w RPO WP 2014–2020 oraz w perspektywie 2021+, z uwzględnieniem potrzeb MŚP, JST, energetyki, środowiska, rewitalizacji i B+R.</w:t>
      </w:r>
    </w:p>
    <w:p w14:paraId="73E70D1A" w14:textId="77777777" w:rsidR="008C6CE6" w:rsidRPr="00211D94" w:rsidRDefault="008C6CE6" w:rsidP="00F55865">
      <w:pPr>
        <w:spacing w:before="120" w:after="120"/>
        <w:rPr>
          <w:rFonts w:cs="Arial"/>
          <w:szCs w:val="24"/>
        </w:rPr>
      </w:pPr>
      <w:r w:rsidRPr="00211D94">
        <w:rPr>
          <w:rFonts w:cs="Arial"/>
          <w:szCs w:val="24"/>
        </w:rPr>
        <w:t>Wyniki: instrumenty finansowe skutecznie uzupełniały wsparcie bezzwrotne, zmniejszały lukę finansową, wspierały inwestycje wysokiego ryzyka i stymulowały rozwój gospodarczy regionu. Elastyczne dopasowanie produktów, w tym w czasie pandemii COVID-19, zwiększało ich użyteczność i efektywność.</w:t>
      </w:r>
    </w:p>
    <w:p w14:paraId="01EE949D" w14:textId="77777777" w:rsidR="008C6CE6" w:rsidRPr="00211D94" w:rsidRDefault="008C6CE6" w:rsidP="00F55865">
      <w:pPr>
        <w:spacing w:before="120" w:after="120"/>
        <w:rPr>
          <w:rFonts w:cs="Arial"/>
          <w:szCs w:val="24"/>
        </w:rPr>
      </w:pPr>
      <w:r w:rsidRPr="00211D94">
        <w:rPr>
          <w:rFonts w:cs="Arial"/>
          <w:szCs w:val="24"/>
        </w:rPr>
        <w:t>Wnioski: instrumenty finansowe stanowią podstawę dalszego rozwoju RPO WP w perspektywie 2021–2027 i umożliwiają szersze zastosowanie w kluczowych obszarach regionu.</w:t>
      </w:r>
    </w:p>
    <w:p w14:paraId="38C7E962" w14:textId="77777777" w:rsidR="008C6CE6" w:rsidRPr="00211D94" w:rsidRDefault="008C6CE6" w:rsidP="00F55865">
      <w:pPr>
        <w:spacing w:before="120" w:after="120"/>
        <w:rPr>
          <w:rFonts w:cs="Arial"/>
          <w:b/>
          <w:szCs w:val="24"/>
        </w:rPr>
      </w:pPr>
      <w:r w:rsidRPr="00211D94">
        <w:rPr>
          <w:rFonts w:cs="Arial"/>
          <w:b/>
          <w:szCs w:val="24"/>
        </w:rPr>
        <w:t>III. Zdrowie i e-zdrowie</w:t>
      </w:r>
    </w:p>
    <w:p w14:paraId="68511DBB" w14:textId="77FF61B2"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 xml:space="preserve">„Ocena efektów wsparcia w ramach Działania 5.4 </w:t>
      </w:r>
      <w:r w:rsidR="00E061D8" w:rsidRPr="00211D94">
        <w:rPr>
          <w:rFonts w:cs="Arial"/>
          <w:szCs w:val="24"/>
        </w:rPr>
        <w:t>„</w:t>
      </w:r>
      <w:r w:rsidRPr="00211D94">
        <w:rPr>
          <w:rFonts w:cs="Arial"/>
          <w:szCs w:val="24"/>
        </w:rPr>
        <w:t>Zdrowie na rynku pracy” (2023, Re-Source)</w:t>
      </w:r>
    </w:p>
    <w:p w14:paraId="0AEE8A92" w14:textId="77777777" w:rsidR="008C6CE6" w:rsidRPr="00211D94" w:rsidRDefault="008C6CE6" w:rsidP="00F55865">
      <w:pPr>
        <w:spacing w:before="120" w:after="120"/>
        <w:rPr>
          <w:rFonts w:cs="Arial"/>
          <w:szCs w:val="24"/>
        </w:rPr>
      </w:pPr>
      <w:r w:rsidRPr="00211D94">
        <w:rPr>
          <w:rFonts w:cs="Arial"/>
          <w:szCs w:val="24"/>
        </w:rPr>
        <w:t>Cel: ocena programów profilaktyki chorób przewlekłych, rehabilitacji i działań eliminujących czynniki ryzyka w miejscu pracy, w tym w okresie pandemii COVID-19.</w:t>
      </w:r>
    </w:p>
    <w:p w14:paraId="7C46AB46" w14:textId="77777777" w:rsidR="008C6CE6" w:rsidRPr="00211D94" w:rsidRDefault="008C6CE6" w:rsidP="00F55865">
      <w:pPr>
        <w:spacing w:before="120" w:after="120"/>
        <w:rPr>
          <w:rFonts w:cs="Arial"/>
          <w:szCs w:val="24"/>
        </w:rPr>
      </w:pPr>
      <w:r w:rsidRPr="00211D94">
        <w:rPr>
          <w:rFonts w:cs="Arial"/>
          <w:szCs w:val="24"/>
        </w:rPr>
        <w:t>Wyniki: program prewencji cukrzycy typu 2 podniósł świadomość zdrowotną uczestników i umożliwił wcześniejsze rozpoznanie choroby. Moduł rehabilitacji kardiologicznej obejmował konsultacje, rehabilitację i edukację zdrowotną. Projekty profilaktyki nowotworowej zwiększyły dostępność badań przesiewowych (piersi, szyjka macicy, jelito grube). Działania eliminujące czynniki ryzyka w pracy poprawiły ergonomię i bezpieczeństwo.</w:t>
      </w:r>
    </w:p>
    <w:p w14:paraId="3E258B06" w14:textId="77777777" w:rsidR="008C6CE6" w:rsidRPr="00211D94" w:rsidRDefault="008C6CE6" w:rsidP="00F55865">
      <w:pPr>
        <w:spacing w:before="120" w:after="120"/>
        <w:rPr>
          <w:rFonts w:cs="Arial"/>
          <w:szCs w:val="24"/>
        </w:rPr>
      </w:pPr>
      <w:r w:rsidRPr="00211D94">
        <w:rPr>
          <w:rFonts w:cs="Arial"/>
          <w:szCs w:val="24"/>
        </w:rPr>
        <w:t>Wnioski: projekty w ramach Działania 5.4 przyczyniły się do poprawy stanu zdrowia mieszkańców, wcześniejszego wykrywania chorób i utrzymania aktywności zawodowej.</w:t>
      </w:r>
    </w:p>
    <w:p w14:paraId="415342EA" w14:textId="5E032123"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wsparcia w zakresie specjalistycznych usług zdrowotnych i rozwoju e-zdrowia” (2023, Re-Source)</w:t>
      </w:r>
    </w:p>
    <w:p w14:paraId="323AEDC4" w14:textId="77777777" w:rsidR="008C6CE6" w:rsidRPr="00211D94" w:rsidRDefault="008C6CE6" w:rsidP="00F55865">
      <w:pPr>
        <w:spacing w:before="120" w:after="120"/>
        <w:rPr>
          <w:rFonts w:cs="Arial"/>
          <w:szCs w:val="24"/>
        </w:rPr>
      </w:pPr>
      <w:r w:rsidRPr="00211D94">
        <w:rPr>
          <w:rFonts w:cs="Arial"/>
          <w:szCs w:val="24"/>
        </w:rPr>
        <w:t>Cel: poprawa dostępności usług specjalistycznych i rozwój nowoczesnych rozwiązań cyfrowych w ochronie zdrowia.</w:t>
      </w:r>
    </w:p>
    <w:p w14:paraId="19C03B1E" w14:textId="77777777" w:rsidR="008C6CE6" w:rsidRPr="00211D94" w:rsidRDefault="008C6CE6" w:rsidP="00F55865">
      <w:pPr>
        <w:spacing w:before="120" w:after="120"/>
        <w:rPr>
          <w:rFonts w:cs="Arial"/>
          <w:szCs w:val="24"/>
        </w:rPr>
      </w:pPr>
      <w:r w:rsidRPr="00211D94">
        <w:rPr>
          <w:rFonts w:cs="Arial"/>
          <w:szCs w:val="24"/>
        </w:rPr>
        <w:t xml:space="preserve">Wyniki: modernizacja i rozbudowa placówek, zakup sprzętu, utworzenie Centrum Opieki Geriatrycznej w Sopocie, wdrożenie regionalnych systemów e-zdrowia, w tym elektronicznej dokumentacji medycznej i platform wymiany danych obrazowych. Rozwój </w:t>
      </w:r>
      <w:proofErr w:type="spellStart"/>
      <w:r w:rsidRPr="00211D94">
        <w:rPr>
          <w:rFonts w:cs="Arial"/>
          <w:szCs w:val="24"/>
        </w:rPr>
        <w:t>telemedycyny</w:t>
      </w:r>
      <w:proofErr w:type="spellEnd"/>
      <w:r w:rsidRPr="00211D94">
        <w:rPr>
          <w:rFonts w:cs="Arial"/>
          <w:szCs w:val="24"/>
        </w:rPr>
        <w:t xml:space="preserve"> wzmocnił odporność systemu ochrony zdrowia na sytuacje kryzysowe.</w:t>
      </w:r>
    </w:p>
    <w:p w14:paraId="7EA8A93D" w14:textId="77777777" w:rsidR="008C6CE6" w:rsidRPr="00211D94" w:rsidRDefault="008C6CE6" w:rsidP="00F55865">
      <w:pPr>
        <w:spacing w:before="120" w:after="120"/>
        <w:rPr>
          <w:rFonts w:cs="Arial"/>
          <w:szCs w:val="24"/>
        </w:rPr>
      </w:pPr>
      <w:r w:rsidRPr="00211D94">
        <w:rPr>
          <w:rFonts w:cs="Arial"/>
          <w:szCs w:val="24"/>
        </w:rPr>
        <w:t>Wnioski: działania przyczyniły się do poprawy jakości i dostępności usług medycznych oraz stworzyły podstawy dalszej cyfryzacji sektora zdrowia.</w:t>
      </w:r>
    </w:p>
    <w:p w14:paraId="277183F8" w14:textId="40C93562" w:rsidR="008C6CE6" w:rsidRPr="00211D94" w:rsidRDefault="008C6CE6" w:rsidP="00F55865">
      <w:pPr>
        <w:spacing w:before="120" w:after="120"/>
        <w:rPr>
          <w:rFonts w:cs="Arial"/>
          <w:b/>
          <w:szCs w:val="24"/>
        </w:rPr>
      </w:pPr>
      <w:r w:rsidRPr="00211D94">
        <w:rPr>
          <w:rFonts w:cs="Arial"/>
          <w:b/>
          <w:szCs w:val="24"/>
        </w:rPr>
        <w:t>IV. Transport, infrastruktura i energia</w:t>
      </w:r>
    </w:p>
    <w:p w14:paraId="48E08FD8" w14:textId="2762E3E0"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efektów realizacji projektów transportowych” (2023, Wolański)</w:t>
      </w:r>
    </w:p>
    <w:p w14:paraId="69FB27A2" w14:textId="77777777" w:rsidR="008C6CE6" w:rsidRPr="00211D94" w:rsidRDefault="008C6CE6" w:rsidP="00F55865">
      <w:pPr>
        <w:spacing w:before="120" w:after="120"/>
        <w:rPr>
          <w:rFonts w:cs="Arial"/>
          <w:szCs w:val="24"/>
        </w:rPr>
      </w:pPr>
      <w:r w:rsidRPr="00211D94">
        <w:rPr>
          <w:rFonts w:cs="Arial"/>
          <w:szCs w:val="24"/>
        </w:rPr>
        <w:t>Cel: ocena projektów transportu miejskiego, kolejowego, drogowego i rowerowego w kontekście jakości transportu publicznego, bezpieczeństwa oraz spójności systemu komunikacyjnego.</w:t>
      </w:r>
    </w:p>
    <w:p w14:paraId="632C6DB5" w14:textId="747F42E0" w:rsidR="008C6CE6" w:rsidRPr="00211D94" w:rsidRDefault="008C6CE6" w:rsidP="00F55865">
      <w:pPr>
        <w:spacing w:before="120" w:after="120"/>
        <w:rPr>
          <w:rFonts w:cs="Arial"/>
          <w:szCs w:val="24"/>
        </w:rPr>
      </w:pPr>
      <w:r w:rsidRPr="00211D94">
        <w:rPr>
          <w:rFonts w:cs="Arial"/>
          <w:szCs w:val="24"/>
        </w:rPr>
        <w:t>Wyniki: inwestycje w węzły integracyjne, zakup taboru autobusowego</w:t>
      </w:r>
      <w:r w:rsidR="001E666E" w:rsidRPr="00211D94">
        <w:rPr>
          <w:rFonts w:cs="Arial"/>
          <w:szCs w:val="24"/>
        </w:rPr>
        <w:t>, przebudowa l</w:t>
      </w:r>
      <w:r w:rsidRPr="00211D94">
        <w:rPr>
          <w:rFonts w:cs="Arial"/>
          <w:szCs w:val="24"/>
        </w:rPr>
        <w:t>inii kolejowych, modernizację infrastruktury i rozwój infrastruktury rowerowej. Zwiększenie częstotliwości i komfortu podróży, poprawa bezpieczeństwa na drogach, ograniczenie ruchu tranzytowego w miejscowościach.</w:t>
      </w:r>
    </w:p>
    <w:p w14:paraId="3A799C42" w14:textId="77777777" w:rsidR="008C6CE6" w:rsidRPr="00211D94" w:rsidRDefault="008C6CE6" w:rsidP="00F55865">
      <w:pPr>
        <w:spacing w:before="120" w:after="120"/>
        <w:rPr>
          <w:rFonts w:cs="Arial"/>
          <w:szCs w:val="24"/>
        </w:rPr>
      </w:pPr>
      <w:r w:rsidRPr="00211D94">
        <w:rPr>
          <w:rFonts w:cs="Arial"/>
          <w:szCs w:val="24"/>
        </w:rPr>
        <w:t>Wnioski: interwencje transportowe poprawiły integrację systemu komunikacyjnego i bezpieczeństwo, jednocześnie wymagając dalszego zwiększenia dostępności do głównych ośrodków regionu.</w:t>
      </w:r>
    </w:p>
    <w:p w14:paraId="666C7235" w14:textId="404C4F61"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efektów realizacji projektów w zakresie energii” (2023, FUNDEKO)</w:t>
      </w:r>
    </w:p>
    <w:p w14:paraId="69663A1C" w14:textId="77777777" w:rsidR="008C6CE6" w:rsidRPr="00211D94" w:rsidRDefault="008C6CE6" w:rsidP="00F55865">
      <w:pPr>
        <w:spacing w:before="120" w:after="120"/>
        <w:rPr>
          <w:rFonts w:cs="Arial"/>
          <w:szCs w:val="24"/>
        </w:rPr>
      </w:pPr>
      <w:r w:rsidRPr="00211D94">
        <w:rPr>
          <w:rFonts w:cs="Arial"/>
          <w:szCs w:val="24"/>
        </w:rPr>
        <w:t>Cel: ocena inwestycji energetycznych obejmujących modernizację budynków, rozwój OZE i modernizację infrastruktury ciepłowniczej.</w:t>
      </w:r>
    </w:p>
    <w:p w14:paraId="11D042BB" w14:textId="008C8BDB" w:rsidR="008C6CE6" w:rsidRPr="00211D94" w:rsidRDefault="008C6CE6" w:rsidP="00F55865">
      <w:pPr>
        <w:spacing w:before="120" w:after="120"/>
        <w:rPr>
          <w:rFonts w:cs="Arial"/>
          <w:szCs w:val="24"/>
        </w:rPr>
      </w:pPr>
      <w:r w:rsidRPr="00211D94">
        <w:rPr>
          <w:rFonts w:cs="Arial"/>
          <w:szCs w:val="24"/>
        </w:rPr>
        <w:t>Wyniki: termomodernizacja budynków publicznych</w:t>
      </w:r>
      <w:r w:rsidR="007A5B97" w:rsidRPr="00211D94">
        <w:rPr>
          <w:rFonts w:cs="Arial"/>
          <w:szCs w:val="24"/>
        </w:rPr>
        <w:t xml:space="preserve"> i</w:t>
      </w:r>
      <w:r w:rsidRPr="00211D94">
        <w:rPr>
          <w:rFonts w:cs="Arial"/>
          <w:szCs w:val="24"/>
        </w:rPr>
        <w:t xml:space="preserve"> mieszkalnych, wdrożenie systemów zarządzania energią, rozwój farm fotowoltaicznych i biogazowni, modernizacja sieci ciepłowniczych i oświetlenia zewnętrznego. Zwiększenie efektywności energetycznej, redukcja emisji gazów cieplarnianych i wzrost udziału OZE.</w:t>
      </w:r>
    </w:p>
    <w:p w14:paraId="7D9CAB63" w14:textId="77777777" w:rsidR="008C6CE6" w:rsidRPr="00211D94" w:rsidRDefault="008C6CE6" w:rsidP="00F55865">
      <w:pPr>
        <w:spacing w:before="120" w:after="120"/>
        <w:rPr>
          <w:rFonts w:cs="Arial"/>
          <w:szCs w:val="24"/>
        </w:rPr>
      </w:pPr>
      <w:r w:rsidRPr="00211D94">
        <w:rPr>
          <w:rFonts w:cs="Arial"/>
          <w:szCs w:val="24"/>
        </w:rPr>
        <w:t xml:space="preserve">Wnioski: projekty przyczyniły się do poprawy bezpieczeństwa energetycznego, efektywności systemów energetycznych oraz rozwoju instalacji </w:t>
      </w:r>
      <w:proofErr w:type="spellStart"/>
      <w:r w:rsidRPr="00211D94">
        <w:rPr>
          <w:rFonts w:cs="Arial"/>
          <w:szCs w:val="24"/>
        </w:rPr>
        <w:t>prosumenckich</w:t>
      </w:r>
      <w:proofErr w:type="spellEnd"/>
      <w:r w:rsidRPr="00211D94">
        <w:rPr>
          <w:rFonts w:cs="Arial"/>
          <w:szCs w:val="24"/>
        </w:rPr>
        <w:t xml:space="preserve"> i instytucjonalnych.</w:t>
      </w:r>
    </w:p>
    <w:p w14:paraId="7E6802A7" w14:textId="77777777" w:rsidR="008C6CE6" w:rsidRPr="00211D94" w:rsidRDefault="008C6CE6" w:rsidP="00F55865">
      <w:pPr>
        <w:spacing w:before="120" w:after="120"/>
        <w:rPr>
          <w:rFonts w:cs="Arial"/>
          <w:b/>
          <w:szCs w:val="24"/>
        </w:rPr>
      </w:pPr>
      <w:r w:rsidRPr="00211D94">
        <w:rPr>
          <w:rFonts w:cs="Arial"/>
          <w:b/>
          <w:szCs w:val="24"/>
        </w:rPr>
        <w:t>V. Turystyka, kultura i rewitalizacja</w:t>
      </w:r>
    </w:p>
    <w:p w14:paraId="773AAD16" w14:textId="11F4FCBF"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wpływu interwencji w zakresie atrakcyjności przyrodniczej i kulturowej” (2023, EVALU)</w:t>
      </w:r>
    </w:p>
    <w:p w14:paraId="210F1EE7" w14:textId="77777777" w:rsidR="008C6CE6" w:rsidRPr="00211D94" w:rsidRDefault="008C6CE6" w:rsidP="00F55865">
      <w:pPr>
        <w:spacing w:before="120" w:after="120"/>
        <w:rPr>
          <w:rFonts w:cs="Arial"/>
          <w:szCs w:val="24"/>
        </w:rPr>
      </w:pPr>
      <w:r w:rsidRPr="00211D94">
        <w:rPr>
          <w:rFonts w:cs="Arial"/>
          <w:szCs w:val="24"/>
        </w:rPr>
        <w:t>Cel: ocena projektów wspierających dziedzictwo kulturowe i przyrodnicze oraz rozwój turystyki i atrakcyjności regionu.</w:t>
      </w:r>
    </w:p>
    <w:p w14:paraId="5C214BC6" w14:textId="77777777" w:rsidR="008C6CE6" w:rsidRPr="00211D94" w:rsidRDefault="008C6CE6" w:rsidP="00F55865">
      <w:pPr>
        <w:spacing w:before="120" w:after="120"/>
        <w:rPr>
          <w:rFonts w:cs="Arial"/>
          <w:szCs w:val="24"/>
        </w:rPr>
      </w:pPr>
      <w:r w:rsidRPr="00211D94">
        <w:rPr>
          <w:rFonts w:cs="Arial"/>
          <w:szCs w:val="24"/>
        </w:rPr>
        <w:t>Wyniki: modernizacja instytucji kultury, ochrona i adaptacja zabytków, rozwój infrastruktury turystycznej i rekreacyjnej, szlaki kajakowe i rowerowe, działania promocyjne i edukacyjne.</w:t>
      </w:r>
    </w:p>
    <w:p w14:paraId="0464CC31" w14:textId="77777777" w:rsidR="008C6CE6" w:rsidRPr="00211D94" w:rsidRDefault="008C6CE6" w:rsidP="00F55865">
      <w:pPr>
        <w:spacing w:before="120" w:after="120"/>
        <w:rPr>
          <w:rFonts w:cs="Arial"/>
          <w:szCs w:val="24"/>
        </w:rPr>
      </w:pPr>
      <w:r w:rsidRPr="00211D94">
        <w:rPr>
          <w:rFonts w:cs="Arial"/>
          <w:szCs w:val="24"/>
        </w:rPr>
        <w:t>Wnioski: interwencje zwiększyły liczbę odwiedzających, ożywiły lokalną gospodarkę i wzmocniły pozycję Pomorza jako atrakcyjnego kierunku turystyki aktywnej i kulturowej.</w:t>
      </w:r>
    </w:p>
    <w:p w14:paraId="29FA1E70" w14:textId="3AD22B95"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wpływu interwencji w zakresie kompleksowej rewitalizacji zdegradowanych obszarów miejskich” (2024, Wolański)</w:t>
      </w:r>
    </w:p>
    <w:p w14:paraId="7B6E6FB9" w14:textId="77777777" w:rsidR="008C6CE6" w:rsidRPr="00211D94" w:rsidRDefault="008C6CE6" w:rsidP="00F55865">
      <w:pPr>
        <w:spacing w:before="120" w:after="120"/>
        <w:rPr>
          <w:rFonts w:cs="Arial"/>
          <w:szCs w:val="24"/>
        </w:rPr>
      </w:pPr>
      <w:r w:rsidRPr="00211D94">
        <w:rPr>
          <w:rFonts w:cs="Arial"/>
          <w:szCs w:val="24"/>
        </w:rPr>
        <w:t>Cel: ocena efektów rewitalizacji społeczno-gospodarczej i przestrzennej w zdegradowanych obszarach miejskich, w tym integracji działań EFS i EFRR.</w:t>
      </w:r>
    </w:p>
    <w:p w14:paraId="56C0FF85" w14:textId="77777777" w:rsidR="008C6CE6" w:rsidRPr="00211D94" w:rsidRDefault="008C6CE6" w:rsidP="00F55865">
      <w:pPr>
        <w:spacing w:before="120" w:after="120"/>
        <w:rPr>
          <w:rFonts w:cs="Arial"/>
          <w:szCs w:val="24"/>
        </w:rPr>
      </w:pPr>
      <w:r w:rsidRPr="00211D94">
        <w:rPr>
          <w:rFonts w:cs="Arial"/>
          <w:szCs w:val="24"/>
        </w:rPr>
        <w:t>Wyniki: projekty wspierały aktywizację społeczną i zawodową, rozwój usług społecznych, modernizację przestrzeni publicznych (parki, skwery, chodniki, elewacje budynków), zintegrowane podejście łączące działania społeczne i infrastrukturalne.</w:t>
      </w:r>
    </w:p>
    <w:p w14:paraId="45178023" w14:textId="72728A2E" w:rsidR="008C6CE6" w:rsidRPr="00211D94" w:rsidRDefault="008C6CE6" w:rsidP="00F55865">
      <w:pPr>
        <w:spacing w:before="120" w:after="120"/>
        <w:rPr>
          <w:rFonts w:cs="Arial"/>
          <w:szCs w:val="24"/>
        </w:rPr>
      </w:pPr>
      <w:r w:rsidRPr="00211D94">
        <w:rPr>
          <w:rFonts w:cs="Arial"/>
          <w:szCs w:val="24"/>
        </w:rPr>
        <w:t xml:space="preserve">Wnioski: rewitalizacja znacząco poprawiła jakość życia mieszkańców i spójność społeczną. </w:t>
      </w:r>
      <w:r w:rsidR="00846FCA" w:rsidRPr="00211D94">
        <w:rPr>
          <w:rFonts w:cs="Arial"/>
          <w:szCs w:val="24"/>
        </w:rPr>
        <w:t>Kluczowe czynniki prowadzenia skutecznej rewitalizacji to kondycja finansowa samorządów, procesy demograficzne i zmiany klimatyczne</w:t>
      </w:r>
      <w:r w:rsidR="00F8085B" w:rsidRPr="00211D94">
        <w:rPr>
          <w:rFonts w:cs="Arial"/>
          <w:szCs w:val="24"/>
        </w:rPr>
        <w:t>.</w:t>
      </w:r>
    </w:p>
    <w:p w14:paraId="319B8AFE" w14:textId="77777777" w:rsidR="008C6CE6" w:rsidRPr="00211D94" w:rsidRDefault="008C6CE6" w:rsidP="00F55865">
      <w:pPr>
        <w:spacing w:before="120" w:after="120"/>
        <w:rPr>
          <w:rFonts w:cs="Arial"/>
          <w:b/>
          <w:szCs w:val="24"/>
        </w:rPr>
      </w:pPr>
      <w:r w:rsidRPr="00211D94">
        <w:rPr>
          <w:rFonts w:cs="Arial"/>
          <w:b/>
          <w:szCs w:val="24"/>
        </w:rPr>
        <w:t>VI. Włączenie społeczne</w:t>
      </w:r>
    </w:p>
    <w:p w14:paraId="373008AB" w14:textId="7C6C982B" w:rsidR="008C6CE6" w:rsidRPr="00211D94" w:rsidRDefault="008C6CE6" w:rsidP="00F55865">
      <w:pPr>
        <w:pStyle w:val="Akapitzlist"/>
        <w:numPr>
          <w:ilvl w:val="0"/>
          <w:numId w:val="41"/>
        </w:numPr>
        <w:spacing w:before="120" w:after="120" w:line="276" w:lineRule="auto"/>
        <w:rPr>
          <w:rFonts w:cs="Arial"/>
          <w:szCs w:val="24"/>
        </w:rPr>
      </w:pPr>
      <w:r w:rsidRPr="00211D94">
        <w:rPr>
          <w:rFonts w:cs="Arial"/>
          <w:szCs w:val="24"/>
        </w:rPr>
        <w:t>„Ocena efektów projektów w obszarze włączenia społecznego” (2023–2024, EPRD i MABEA)</w:t>
      </w:r>
    </w:p>
    <w:p w14:paraId="48C94C28" w14:textId="77777777" w:rsidR="008C6CE6" w:rsidRPr="00211D94" w:rsidRDefault="008C6CE6" w:rsidP="00F55865">
      <w:pPr>
        <w:spacing w:before="120" w:after="120"/>
        <w:rPr>
          <w:rFonts w:cs="Arial"/>
          <w:szCs w:val="24"/>
        </w:rPr>
      </w:pPr>
      <w:r w:rsidRPr="00211D94">
        <w:rPr>
          <w:rFonts w:cs="Arial"/>
          <w:szCs w:val="24"/>
        </w:rPr>
        <w:t>Cel: ocena interwencji w zakresie aktywizacji osób zagrożonych ubóstwem i wykluczeniem, rozwoju usług społecznych, wsparcia podmiotów ekonomii społecznej oraz integracji imigrantów.</w:t>
      </w:r>
    </w:p>
    <w:p w14:paraId="6D7B71AC" w14:textId="77777777" w:rsidR="008C6CE6" w:rsidRPr="00211D94" w:rsidRDefault="008C6CE6" w:rsidP="00F55865">
      <w:pPr>
        <w:spacing w:before="120" w:after="120"/>
        <w:rPr>
          <w:rFonts w:cs="Arial"/>
          <w:szCs w:val="24"/>
        </w:rPr>
      </w:pPr>
      <w:r w:rsidRPr="00211D94">
        <w:rPr>
          <w:rFonts w:cs="Arial"/>
          <w:szCs w:val="24"/>
        </w:rPr>
        <w:t>Wyniki: działania aktywizacyjne obejmowały osoby z niepełnosprawnościami, rozwój lokalnych ekosystemów wsparcia, nowe miejsca świadczenia usług społecznych, wsparcie podmiotów ekonomii społecznej i integrację imigrantów (kursy językowe, działania adaptacyjne).</w:t>
      </w:r>
    </w:p>
    <w:p w14:paraId="33C4B6D7" w14:textId="77777777" w:rsidR="008C6CE6" w:rsidRPr="00211D94" w:rsidRDefault="008C6CE6" w:rsidP="00F55865">
      <w:pPr>
        <w:spacing w:before="120" w:after="120"/>
        <w:rPr>
          <w:rFonts w:cs="Arial"/>
          <w:szCs w:val="24"/>
        </w:rPr>
      </w:pPr>
      <w:r w:rsidRPr="00211D94">
        <w:rPr>
          <w:rFonts w:cs="Arial"/>
          <w:szCs w:val="24"/>
        </w:rPr>
        <w:t>Wnioski: interwencje znacząco poprawiły sytuację osób zagrożonych wykluczeniem, wspierały rozwój lokalnych instytucji i podmiotów, przy czym trwałość zależy od stabilnego finansowania i współpracy z samorządami.</w:t>
      </w:r>
    </w:p>
    <w:p w14:paraId="1CA72A8D" w14:textId="69839958" w:rsidR="008C6CE6" w:rsidRPr="00211D94" w:rsidRDefault="008C6CE6" w:rsidP="00F55865">
      <w:pPr>
        <w:spacing w:before="120" w:after="120"/>
        <w:rPr>
          <w:rFonts w:cs="Arial"/>
          <w:szCs w:val="24"/>
        </w:rPr>
      </w:pPr>
      <w:r w:rsidRPr="00211D94">
        <w:rPr>
          <w:rFonts w:cs="Arial"/>
          <w:szCs w:val="24"/>
        </w:rPr>
        <w:t>Analiza wyników 11 badań ewaluacyjnych 2023–2024 pokazuje, że realizacja RPO WP 2014</w:t>
      </w:r>
      <w:r w:rsidR="00895F0C" w:rsidRPr="00211D94">
        <w:rPr>
          <w:rFonts w:cs="Arial"/>
          <w:szCs w:val="24"/>
        </w:rPr>
        <w:t>-</w:t>
      </w:r>
      <w:r w:rsidRPr="00211D94">
        <w:rPr>
          <w:rFonts w:cs="Arial"/>
          <w:szCs w:val="24"/>
        </w:rPr>
        <w:t>2020 w znaczący sposób przyczyniła się do:</w:t>
      </w:r>
    </w:p>
    <w:p w14:paraId="541831E5" w14:textId="5127C0DB"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wzrostu aktywności zawodowej i edukacyjnej uczestników,</w:t>
      </w:r>
    </w:p>
    <w:p w14:paraId="3F3F13C1" w14:textId="53958941"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poprawy jakości wsparcia B+R, konkurencyjności i innowacyjności MŚP,</w:t>
      </w:r>
    </w:p>
    <w:p w14:paraId="71E5ACBA" w14:textId="4801C7DD"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rozwoju infrastruktury zdrowotnej i cyfryzacji e-zdrowia,</w:t>
      </w:r>
    </w:p>
    <w:p w14:paraId="13203EB4" w14:textId="46958576"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modernizacji transportu, poprawy bezpieczeństwa drogowego i mobilności,</w:t>
      </w:r>
    </w:p>
    <w:p w14:paraId="57123EDB" w14:textId="1C1CC705"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zwiększenia efektywności energetycznej i rozwoju OZE,</w:t>
      </w:r>
    </w:p>
    <w:p w14:paraId="72022BA0" w14:textId="4998851E"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wzrostu atrakcyjności turystycznej i kulturowej regionu,</w:t>
      </w:r>
    </w:p>
    <w:p w14:paraId="4D421383" w14:textId="77777777" w:rsidR="00844E01"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rewitalizacji zdegradowanych obszarów miejskich,</w:t>
      </w:r>
    </w:p>
    <w:p w14:paraId="25F1CA75" w14:textId="5E786EDE" w:rsidR="008C6CE6" w:rsidRPr="00211D94" w:rsidRDefault="008C6CE6" w:rsidP="00844E01">
      <w:pPr>
        <w:pStyle w:val="Akapitzlist"/>
        <w:numPr>
          <w:ilvl w:val="1"/>
          <w:numId w:val="1"/>
        </w:numPr>
        <w:spacing w:before="120" w:after="120"/>
        <w:ind w:left="1077" w:hanging="357"/>
        <w:contextualSpacing w:val="0"/>
        <w:rPr>
          <w:rFonts w:cs="Arial"/>
          <w:szCs w:val="24"/>
        </w:rPr>
      </w:pPr>
      <w:r w:rsidRPr="00211D94">
        <w:rPr>
          <w:rFonts w:cs="Arial"/>
          <w:szCs w:val="24"/>
        </w:rPr>
        <w:t>wzmocnienia włączenia społecznego, w tym integracji imigrantów.</w:t>
      </w:r>
    </w:p>
    <w:p w14:paraId="2C58A712" w14:textId="47F0A2DA" w:rsidR="00535C89" w:rsidRPr="00211D94" w:rsidRDefault="008C6CE6" w:rsidP="00F55865">
      <w:pPr>
        <w:spacing w:before="120" w:after="120"/>
        <w:rPr>
          <w:rFonts w:cs="Arial"/>
          <w:szCs w:val="24"/>
        </w:rPr>
      </w:pPr>
      <w:r w:rsidRPr="00211D94">
        <w:rPr>
          <w:rFonts w:cs="Arial"/>
          <w:szCs w:val="24"/>
        </w:rPr>
        <w:t>Wnioski z badań wskazują na znaczenie trwałości efektów, potrzeby zindywidualizowanego wsparcia oraz elastycznego wykorzystania instrumentów finansowych i partnerstw międzysektorowych. Wyniki ewaluacji stworzyły solidną podstawę dla planowania interwencji w perspektywie 2021–2027, umożliwiając dalszy rozwój społeczno-gospodarczy w obszarach kluczowych dla województwa.</w:t>
      </w:r>
    </w:p>
    <w:p w14:paraId="600E319B" w14:textId="77777777" w:rsidR="00912F92" w:rsidRPr="00211D94" w:rsidRDefault="00F72A5E" w:rsidP="00F55865">
      <w:pPr>
        <w:pStyle w:val="Nagwek1"/>
        <w:spacing w:before="120" w:after="120"/>
        <w:rPr>
          <w:rFonts w:cs="Arial"/>
          <w:color w:val="FFFFFF" w:themeColor="background1"/>
          <w:szCs w:val="24"/>
        </w:rPr>
      </w:pPr>
      <w:bookmarkStart w:id="98" w:name="_Toc214025269"/>
      <w:r w:rsidRPr="00211D94">
        <w:rPr>
          <w:rFonts w:cs="Arial"/>
          <w:color w:val="FFFFFF" w:themeColor="background1"/>
          <w:szCs w:val="24"/>
        </w:rPr>
        <w:t>5.</w:t>
      </w:r>
      <w:r w:rsidR="008102E9" w:rsidRPr="00211D94">
        <w:rPr>
          <w:rFonts w:cs="Arial"/>
          <w:color w:val="FFFFFF" w:themeColor="background1"/>
          <w:szCs w:val="24"/>
        </w:rPr>
        <w:t xml:space="preserve"> </w:t>
      </w:r>
      <w:r w:rsidR="00B413F8" w:rsidRPr="00211D94">
        <w:rPr>
          <w:rFonts w:cs="Arial"/>
          <w:color w:val="FFFFFF" w:themeColor="background1"/>
          <w:szCs w:val="24"/>
        </w:rPr>
        <w:t xml:space="preserve">Informacje na temat wdrażania inicjatywy na rzecz zatrudnienia ludzi młodych, w stosownych przypadkach </w:t>
      </w:r>
      <w:r w:rsidRPr="00211D94">
        <w:rPr>
          <w:rFonts w:cs="Arial"/>
          <w:color w:val="FFFFFF" w:themeColor="background1"/>
          <w:szCs w:val="24"/>
        </w:rPr>
        <w:t>(art. 19 ust. 2 i 4 rozporządzenia (UE) nr 1304/2013)</w:t>
      </w:r>
      <w:bookmarkEnd w:id="98"/>
    </w:p>
    <w:p w14:paraId="1B91FFDF" w14:textId="77777777" w:rsidR="00A31EAC" w:rsidRPr="00211D94" w:rsidRDefault="0027673C" w:rsidP="00F55865">
      <w:pPr>
        <w:spacing w:before="120" w:after="120"/>
        <w:rPr>
          <w:rFonts w:cs="Arial"/>
          <w:szCs w:val="24"/>
        </w:rPr>
      </w:pPr>
      <w:r w:rsidRPr="00211D94">
        <w:rPr>
          <w:rFonts w:cs="Arial"/>
          <w:szCs w:val="24"/>
        </w:rPr>
        <w:t>Punkt ten dotyczy wyłącznie IZ PO WER.</w:t>
      </w:r>
    </w:p>
    <w:p w14:paraId="4B11CB74" w14:textId="3BC1B8C5" w:rsidR="00F72A5E" w:rsidRPr="00211D94" w:rsidRDefault="00F72A5E" w:rsidP="00F55865">
      <w:pPr>
        <w:pStyle w:val="Nagwek1"/>
        <w:spacing w:before="120" w:after="120"/>
        <w:rPr>
          <w:rFonts w:cs="Arial"/>
          <w:color w:val="FFFFFF" w:themeColor="background1"/>
          <w:szCs w:val="24"/>
        </w:rPr>
      </w:pPr>
      <w:bookmarkStart w:id="99" w:name="_Toc214025270"/>
      <w:r w:rsidRPr="00211D94">
        <w:rPr>
          <w:rFonts w:cs="Arial"/>
          <w:color w:val="FFFFFF" w:themeColor="background1"/>
          <w:szCs w:val="24"/>
        </w:rPr>
        <w:t>6.</w:t>
      </w:r>
      <w:r w:rsidR="008102E9" w:rsidRPr="00211D94">
        <w:rPr>
          <w:rFonts w:cs="Arial"/>
          <w:color w:val="FFFFFF" w:themeColor="background1"/>
          <w:szCs w:val="24"/>
        </w:rPr>
        <w:t xml:space="preserve"> </w:t>
      </w:r>
      <w:r w:rsidR="00B413F8" w:rsidRPr="00211D94">
        <w:rPr>
          <w:rFonts w:cs="Arial"/>
          <w:color w:val="FFFFFF" w:themeColor="background1"/>
          <w:szCs w:val="24"/>
        </w:rPr>
        <w:t>Kwestie mające wpływ na wykonanie programu i podjęte działania</w:t>
      </w:r>
      <w:r w:rsidRPr="00211D94">
        <w:rPr>
          <w:rFonts w:cs="Arial"/>
          <w:color w:val="FFFFFF" w:themeColor="background1"/>
          <w:szCs w:val="24"/>
        </w:rPr>
        <w:t xml:space="preserve"> (art. 50 ust.2 rozporządzenia </w:t>
      </w:r>
      <w:r w:rsidR="00726583" w:rsidRPr="00211D94">
        <w:rPr>
          <w:rFonts w:cs="Arial"/>
          <w:color w:val="FFFFFF" w:themeColor="background1"/>
          <w:szCs w:val="24"/>
        </w:rPr>
        <w:t>ogólnego</w:t>
      </w:r>
      <w:r w:rsidRPr="00211D94">
        <w:rPr>
          <w:rFonts w:cs="Arial"/>
          <w:color w:val="FFFFFF" w:themeColor="background1"/>
          <w:szCs w:val="24"/>
        </w:rPr>
        <w:t>)</w:t>
      </w:r>
      <w:bookmarkEnd w:id="99"/>
    </w:p>
    <w:p w14:paraId="04B6F8E3" w14:textId="77777777" w:rsidR="00C474A0" w:rsidRPr="00211D94" w:rsidRDefault="0027673C" w:rsidP="00F55865">
      <w:pPr>
        <w:pStyle w:val="Nagwek2"/>
        <w:spacing w:before="120" w:after="120"/>
        <w:rPr>
          <w:rFonts w:cs="Arial"/>
          <w:color w:val="FFFFFF" w:themeColor="background1"/>
        </w:rPr>
      </w:pPr>
      <w:bookmarkStart w:id="100" w:name="_Toc214025271"/>
      <w:r w:rsidRPr="00211D94">
        <w:rPr>
          <w:rStyle w:val="StylArial9ptNiebieskoszary"/>
          <w:rFonts w:cs="Arial"/>
          <w:color w:val="FFFFFF" w:themeColor="background1"/>
          <w:sz w:val="28"/>
        </w:rPr>
        <w:t>a) Kwestie mające wpływ na wykonanie programu i podjęte działania</w:t>
      </w:r>
      <w:bookmarkEnd w:id="100"/>
      <w:r w:rsidRPr="00211D94">
        <w:rPr>
          <w:rFonts w:cs="Arial"/>
          <w:color w:val="FFFFFF" w:themeColor="background1"/>
        </w:rPr>
        <w:t xml:space="preserve"> </w:t>
      </w:r>
    </w:p>
    <w:p w14:paraId="1F4D94CA" w14:textId="77777777" w:rsidR="000318F7" w:rsidRPr="00211D94" w:rsidRDefault="000318F7" w:rsidP="000318F7">
      <w:pPr>
        <w:rPr>
          <w:lang w:eastAsia="pl-PL"/>
        </w:rPr>
      </w:pPr>
      <w:r w:rsidRPr="00211D94">
        <w:rPr>
          <w:lang w:eastAsia="pl-PL"/>
        </w:rPr>
        <w:t>Istotnym czynnikiem utrudniającym wdrażanie projektów finansowanych zarówno z EFRR, jak i z EFS, była utrzymująca się trudna sytuacja w obszarze zamówień publicznych. Dobra koniunktura gospodarcza, przy jednoczesnym prowadzeniu wielu inwestycji finansowanych ze środków publicznych (w tym unijnych) oraz prywatnych, powodowała trudności w wyłanianiu wykonawców – z powodu ich ograniczonej dostępności lub ofert przewyższających budżety projektów i możliwości finansowe beneficjentów.</w:t>
      </w:r>
    </w:p>
    <w:p w14:paraId="24ED0275" w14:textId="77777777" w:rsidR="0003787C" w:rsidRPr="00211D94" w:rsidRDefault="000318F7" w:rsidP="000318F7">
      <w:pPr>
        <w:rPr>
          <w:lang w:eastAsia="pl-PL"/>
        </w:rPr>
      </w:pPr>
      <w:r w:rsidRPr="00211D94">
        <w:rPr>
          <w:lang w:eastAsia="pl-PL"/>
        </w:rPr>
        <w:t>Beneficjenci często zmuszeni byli do ponawiania postępowań, co skutkowało opóźnieniami w realizacji projektów. W wielu przypadkach konieczne było również zwiększenie wkładu własnego lub ograniczenie zakresu przedsięwzięcia. Zdarzały się rezygnacje wykonawców wynikające ze wzrostu cen materiałów i robocizny w stosunku do wartości przyjętych w ofertach przetargowych. Dodatkowym problemem był niedobór wykwalifikowanych pracowników.</w:t>
      </w:r>
    </w:p>
    <w:p w14:paraId="5CD02096" w14:textId="324890F0" w:rsidR="000318F7" w:rsidRPr="00211D94" w:rsidRDefault="000318F7" w:rsidP="000318F7">
      <w:pPr>
        <w:rPr>
          <w:lang w:eastAsia="pl-PL"/>
        </w:rPr>
      </w:pPr>
      <w:r w:rsidRPr="00211D94">
        <w:rPr>
          <w:lang w:eastAsia="pl-PL"/>
        </w:rPr>
        <w:t>IZ RPO współpracowała z beneficjentami, udzielając zgód na wydłużanie terminów i wprowadzanie zmian w projektach. W uzasadnionych przypadkach dopuszczano przesunięcia oszczędności oraz wydłużenie okresu realizacji przedsięwzięć. Pomimo podjętych działań dwa projekty zostały podzielone na etapy realizowane w latach 2014–2020 oraz 2021–2027</w:t>
      </w:r>
      <w:r w:rsidR="00E72C3D" w:rsidRPr="00211D94">
        <w:rPr>
          <w:lang w:eastAsia="pl-PL"/>
        </w:rPr>
        <w:t xml:space="preserve"> (projekty fazowane)</w:t>
      </w:r>
      <w:r w:rsidRPr="00211D94">
        <w:rPr>
          <w:lang w:eastAsia="pl-PL"/>
        </w:rPr>
        <w:t xml:space="preserve">, natomiast </w:t>
      </w:r>
      <w:r w:rsidR="00FA040B" w:rsidRPr="00211D94">
        <w:rPr>
          <w:lang w:eastAsia="pl-PL"/>
        </w:rPr>
        <w:t>trz</w:t>
      </w:r>
      <w:r w:rsidRPr="00211D94">
        <w:rPr>
          <w:lang w:eastAsia="pl-PL"/>
        </w:rPr>
        <w:t xml:space="preserve">y uzyskały status projektów niefunkcjonujących (szczegóły w Załącznikach I </w:t>
      </w:r>
      <w:proofErr w:type="spellStart"/>
      <w:r w:rsidRPr="00211D94">
        <w:rPr>
          <w:lang w:eastAsia="pl-PL"/>
        </w:rPr>
        <w:t>i</w:t>
      </w:r>
      <w:proofErr w:type="spellEnd"/>
      <w:r w:rsidRPr="00211D94">
        <w:rPr>
          <w:lang w:eastAsia="pl-PL"/>
        </w:rPr>
        <w:t xml:space="preserve"> II do </w:t>
      </w:r>
      <w:r w:rsidR="00345CDA" w:rsidRPr="00211D94">
        <w:rPr>
          <w:lang w:eastAsia="pl-PL"/>
        </w:rPr>
        <w:t>sprawozdania</w:t>
      </w:r>
      <w:r w:rsidRPr="00211D94">
        <w:rPr>
          <w:lang w:eastAsia="pl-PL"/>
        </w:rPr>
        <w:t>).</w:t>
      </w:r>
    </w:p>
    <w:p w14:paraId="201220AD" w14:textId="49FD1F13" w:rsidR="008F73B2" w:rsidRPr="00211D94" w:rsidRDefault="008F73B2" w:rsidP="00844E01">
      <w:pPr>
        <w:rPr>
          <w:lang w:eastAsia="pl-PL"/>
        </w:rPr>
      </w:pPr>
      <w:r w:rsidRPr="00211D94">
        <w:rPr>
          <w:lang w:eastAsia="pl-PL"/>
        </w:rPr>
        <w:t>W zakresie EFS utrzymywały się problemy związane z rezygnowaniem z udziału w projektach przez uczestników przed zakończeniem zaplanowanej ścieżki wsparcia, co stanowiło zagrożenie dla osiągnięcia wskaźników rezultatu, do których osiągnięcia zobowiązani byli beneficjenci. IZ RPO wyrażała zgodę na odpowiednio uzasadnione działania naprawcze, takie jak dodatkowa rekrutacja uczestników lub modyfikacje w projekcie.</w:t>
      </w:r>
    </w:p>
    <w:p w14:paraId="5C786550" w14:textId="350AC2CA" w:rsidR="0025203E" w:rsidRPr="00211D94" w:rsidRDefault="008F73B2" w:rsidP="0025203E">
      <w:pPr>
        <w:rPr>
          <w:szCs w:val="24"/>
        </w:rPr>
      </w:pPr>
      <w:r w:rsidRPr="00211D94">
        <w:rPr>
          <w:szCs w:val="24"/>
        </w:rPr>
        <w:t xml:space="preserve">W OP1 w PI 1b pomimo istniejącego potencjału aplikacyjnego występowała dotychczas niewystarczająca podaż wysokiej jakości, dobrze przygotowanych projektów B+R przedsiębiorstw. IP-ARP prowadziła kompleksowe działania aktywizujące przedsiębiorstwa </w:t>
      </w:r>
      <w:r w:rsidR="0025203E" w:rsidRPr="00211D94">
        <w:rPr>
          <w:szCs w:val="24"/>
        </w:rPr>
        <w:t xml:space="preserve">oraz wspierające je </w:t>
      </w:r>
      <w:r w:rsidRPr="00211D94">
        <w:rPr>
          <w:szCs w:val="24"/>
        </w:rPr>
        <w:t xml:space="preserve">w przygotowywaniu projektów. </w:t>
      </w:r>
      <w:r w:rsidR="0025203E" w:rsidRPr="00211D94">
        <w:rPr>
          <w:szCs w:val="24"/>
        </w:rPr>
        <w:t xml:space="preserve">Pomimo tych wyzwań, ostatecznie wybrane projekty charakteryzowały się wysoką jakością i innowacyjnością. Doskonałym przykładem jest projekt dofinansowany w ramach Poddziałania 1.1.1 </w:t>
      </w:r>
      <w:r w:rsidR="00E061D8" w:rsidRPr="00211D94">
        <w:rPr>
          <w:szCs w:val="24"/>
        </w:rPr>
        <w:t>„</w:t>
      </w:r>
      <w:r w:rsidR="0025203E" w:rsidRPr="00211D94">
        <w:rPr>
          <w:szCs w:val="24"/>
        </w:rPr>
        <w:t>Ekspansja przez innowacje – wsparcie dotacyjne</w:t>
      </w:r>
      <w:r w:rsidR="00E061D8" w:rsidRPr="00211D94">
        <w:rPr>
          <w:szCs w:val="24"/>
        </w:rPr>
        <w:t>”</w:t>
      </w:r>
      <w:r w:rsidR="0025203E" w:rsidRPr="00211D94">
        <w:rPr>
          <w:szCs w:val="24"/>
        </w:rPr>
        <w:t xml:space="preserve"> pt. „Opracowanie metod wykorzystania satelitarnych zobrazowań radarowych do tworzenia map aplikacyjnych nawozów mineralnych w rolnictwie precyzyjnym”, który w 2025 r. zdobył główną nagrodę w konkursie REGIOSTARS w kategorii „Konkurencyjna i inteligentna Europa”.</w:t>
      </w:r>
    </w:p>
    <w:p w14:paraId="47AF58A1" w14:textId="77777777" w:rsidR="0025203E" w:rsidRPr="00211D94" w:rsidRDefault="0025203E" w:rsidP="0025203E">
      <w:pPr>
        <w:rPr>
          <w:szCs w:val="24"/>
        </w:rPr>
      </w:pPr>
      <w:r w:rsidRPr="00211D94">
        <w:rPr>
          <w:szCs w:val="24"/>
        </w:rPr>
        <w:t>Równocześnie występowały również trudności związane z wyborem pośrednika finansowego dla inwestycji kapitałowych w ramach instrumentów finansowych.</w:t>
      </w:r>
    </w:p>
    <w:p w14:paraId="7F75BC5F" w14:textId="47D5AF70" w:rsidR="008F73B2" w:rsidRPr="00211D94" w:rsidRDefault="00942932" w:rsidP="00844E01">
      <w:pPr>
        <w:rPr>
          <w:iCs/>
        </w:rPr>
      </w:pPr>
      <w:r w:rsidRPr="00211D94">
        <w:rPr>
          <w:iCs/>
        </w:rPr>
        <w:t>W OP5 i OP6 zastosowano korektę systemową zgodnie z metodyką zaakceptowaną przez KE. Dotyczyła ona wydatków z błędem wynikającym ze stanowiska ETO i KE, zgodnie z którym VAT uznano za niekwalifikowalny, jeśli mógł być odzyskany przez uczestników projektów otrzymujących środki na rozpoczęcie działalności lub doposażenie stanowiska pracy. IZ RPO wdrożyła działania naprawcze zgodnie z zaleceniami IKUP.</w:t>
      </w:r>
      <w:r w:rsidR="008F73B2" w:rsidRPr="00211D94">
        <w:rPr>
          <w:iCs/>
        </w:rPr>
        <w:t>.</w:t>
      </w:r>
    </w:p>
    <w:p w14:paraId="62C8747B" w14:textId="70406F53" w:rsidR="008F73B2" w:rsidRPr="00211D94" w:rsidRDefault="008F73B2" w:rsidP="00844E01">
      <w:pPr>
        <w:rPr>
          <w:lang w:eastAsia="pl-PL"/>
        </w:rPr>
      </w:pPr>
      <w:r w:rsidRPr="00211D94">
        <w:t xml:space="preserve">W OP7 realizacja projektu „Pomorskie e-zdrowie” obarczona </w:t>
      </w:r>
      <w:r w:rsidR="006A6E44" w:rsidRPr="00211D94">
        <w:t>była</w:t>
      </w:r>
      <w:r w:rsidRPr="00211D94">
        <w:t xml:space="preserve"> ryzykiem ze względu na jego </w:t>
      </w:r>
      <w:r w:rsidR="00B63F3F" w:rsidRPr="00211D94">
        <w:rPr>
          <w:rFonts w:cs="Arial"/>
          <w:szCs w:val="24"/>
        </w:rPr>
        <w:t>skalę, złożoność i konieczność zapewnienia interoperacyjności z krajowymi platformami systemu informacji w ochronie zdrowia</w:t>
      </w:r>
      <w:r w:rsidRPr="00211D94">
        <w:t>.</w:t>
      </w:r>
      <w:r w:rsidR="006A6E44" w:rsidRPr="00211D94">
        <w:t xml:space="preserve"> Projekt otrzymał status projektu niefunkcjonującego</w:t>
      </w:r>
      <w:r w:rsidR="0095222F" w:rsidRPr="00211D94">
        <w:t xml:space="preserve"> (</w:t>
      </w:r>
      <w:r w:rsidR="0095222F" w:rsidRPr="00211D94">
        <w:rPr>
          <w:lang w:eastAsia="pl-PL"/>
        </w:rPr>
        <w:t xml:space="preserve">szczegóły w Załączniku II do </w:t>
      </w:r>
      <w:r w:rsidR="00345CDA" w:rsidRPr="00211D94">
        <w:rPr>
          <w:lang w:eastAsia="pl-PL"/>
        </w:rPr>
        <w:t>sprawozdania</w:t>
      </w:r>
      <w:r w:rsidR="0095222F" w:rsidRPr="00211D94">
        <w:rPr>
          <w:lang w:eastAsia="pl-PL"/>
        </w:rPr>
        <w:t>).</w:t>
      </w:r>
    </w:p>
    <w:p w14:paraId="074DB0E2" w14:textId="4B58933C" w:rsidR="006429E6" w:rsidRPr="00211D94" w:rsidRDefault="00B63F3F" w:rsidP="006429E6">
      <w:pPr>
        <w:spacing w:before="120" w:after="120"/>
        <w:rPr>
          <w:rFonts w:cs="Arial"/>
          <w:szCs w:val="24"/>
        </w:rPr>
      </w:pPr>
      <w:r w:rsidRPr="00211D94">
        <w:rPr>
          <w:rFonts w:cs="Arial"/>
          <w:szCs w:val="24"/>
        </w:rPr>
        <w:t xml:space="preserve">W związku z wybuchem pandemii COVID-19 </w:t>
      </w:r>
      <w:r w:rsidR="000152D8" w:rsidRPr="00211D94">
        <w:rPr>
          <w:rFonts w:cs="Arial"/>
          <w:szCs w:val="24"/>
        </w:rPr>
        <w:t>ZWP</w:t>
      </w:r>
      <w:r w:rsidRPr="00211D94">
        <w:rPr>
          <w:rFonts w:cs="Arial"/>
          <w:szCs w:val="24"/>
        </w:rPr>
        <w:t xml:space="preserve"> podjął niezwłoczne działania mające na celu złagodzenie jej skutków i przeciwdziałanie negatywnym konsekwencjom społeczno-gospodarczym </w:t>
      </w:r>
      <w:r w:rsidR="006429E6" w:rsidRPr="00211D94">
        <w:rPr>
          <w:rFonts w:cs="Arial"/>
          <w:szCs w:val="24"/>
        </w:rPr>
        <w:t>W rezultacie zmiany finansowe w RPO WP zostały uzgodnione z KE w dniu 23 marca 2020 r., przyjęte uchwałą nr 1/20 KM RPO WP z dnia 30 marca 2020 r. oraz przyjęte uchwałą nr 275/135/20 ZWP z dnia 1 kwietnia 2020 r. Zostały także pozytywnie zaopiniowane przez ministra właściwego do spraw rozwoju regionalnego w dniu 2 kwietnia 2020 r.</w:t>
      </w:r>
    </w:p>
    <w:p w14:paraId="353C3126" w14:textId="77777777" w:rsidR="00F37744" w:rsidRPr="00211D94" w:rsidRDefault="00F37744" w:rsidP="006A6E44">
      <w:pPr>
        <w:spacing w:before="120" w:after="120"/>
      </w:pPr>
      <w:r w:rsidRPr="00211D94">
        <w:t>W 2020 r. IZ RPO skoncentrowała się na aktualizacji Programu i usprawnieniu jego wdrażania, by złagodzić skutki gospodarcze i społeczne pandemii. Modyfikacje RPO WP zatwierdzono decyzją KE nr C(2020) 6598 z 22 września 2020 r. Dokonano korekt finansowych w osiach: OP1 Komercjalizacja wiedzy, OP2 Przedsiębiorstwa, OP3 Edukacja, OP5 Zatrudnienie, OP6 Integracja, OP7 Zdrowie (przemianowane na „Zdrowie i opieka” ze względu na rozszerzony zakres interwencji) oraz OP10 Energia. Zaktualizowano także wartości wskaźników produktu, rezultatu i ram wykonania. Ustalono 100% poziom współfinansowania UE dla wszystkich osi w roku obrachunkowym 2020/2021, zgodnie z art. 25a ust. 1 rozporządzenia ogólnego.</w:t>
      </w:r>
    </w:p>
    <w:p w14:paraId="0B974E3D" w14:textId="6D29D2B0" w:rsidR="00B63F3F" w:rsidRPr="00211D94" w:rsidRDefault="00B63F3F" w:rsidP="006A6E44">
      <w:pPr>
        <w:spacing w:before="120" w:after="120"/>
        <w:rPr>
          <w:rFonts w:cs="Arial"/>
          <w:szCs w:val="24"/>
        </w:rPr>
      </w:pPr>
      <w:r w:rsidRPr="00211D94">
        <w:rPr>
          <w:rFonts w:cs="Arial"/>
          <w:szCs w:val="24"/>
        </w:rPr>
        <w:t xml:space="preserve">W 2021 r., wobec utrzymującej się pandemii, dokonano kolejnej aktualizacji Programu (decyzja KE nr C(2021) 9764 z 22 grudnia 2021 r.), </w:t>
      </w:r>
      <w:r w:rsidR="0003787C" w:rsidRPr="00211D94">
        <w:rPr>
          <w:rFonts w:cs="Arial"/>
          <w:szCs w:val="24"/>
        </w:rPr>
        <w:t xml:space="preserve">poprzez m. in. </w:t>
      </w:r>
      <w:r w:rsidRPr="00211D94">
        <w:rPr>
          <w:rFonts w:cs="Arial"/>
          <w:szCs w:val="24"/>
        </w:rPr>
        <w:t>wprowadz</w:t>
      </w:r>
      <w:r w:rsidR="0003787C" w:rsidRPr="00211D94">
        <w:rPr>
          <w:rFonts w:cs="Arial"/>
          <w:szCs w:val="24"/>
        </w:rPr>
        <w:t>enie</w:t>
      </w:r>
      <w:r w:rsidRPr="00211D94">
        <w:rPr>
          <w:rFonts w:cs="Arial"/>
          <w:szCs w:val="24"/>
        </w:rPr>
        <w:t xml:space="preserve"> now</w:t>
      </w:r>
      <w:r w:rsidR="0003787C" w:rsidRPr="00211D94">
        <w:rPr>
          <w:rFonts w:cs="Arial"/>
          <w:szCs w:val="24"/>
        </w:rPr>
        <w:t>ej</w:t>
      </w:r>
      <w:r w:rsidRPr="00211D94">
        <w:rPr>
          <w:rFonts w:cs="Arial"/>
          <w:szCs w:val="24"/>
        </w:rPr>
        <w:t xml:space="preserve"> oś priorytetową OP13. </w:t>
      </w:r>
      <w:r w:rsidR="00753794" w:rsidRPr="00211D94">
        <w:rPr>
          <w:rFonts w:cs="Arial"/>
          <w:szCs w:val="24"/>
        </w:rPr>
        <w:t>„</w:t>
      </w:r>
      <w:r w:rsidRPr="00211D94">
        <w:rPr>
          <w:rFonts w:cs="Arial"/>
          <w:szCs w:val="24"/>
        </w:rPr>
        <w:t>Odbudowa i odporność (REACT-EU)</w:t>
      </w:r>
      <w:r w:rsidR="00753794" w:rsidRPr="00211D94">
        <w:rPr>
          <w:rFonts w:cs="Arial"/>
          <w:szCs w:val="24"/>
        </w:rPr>
        <w:t>”</w:t>
      </w:r>
      <w:r w:rsidRPr="00211D94">
        <w:rPr>
          <w:rFonts w:cs="Arial"/>
          <w:szCs w:val="24"/>
        </w:rPr>
        <w:t>, na podstawie rozporządzania 2020/2221 z dnia 23 grudnia 2020 dot. wprowadzenia dodatkowych zasobów i przepisów dot. REACT-EU</w:t>
      </w:r>
      <w:r w:rsidR="0095222F" w:rsidRPr="00211D94">
        <w:rPr>
          <w:rFonts w:cs="Arial"/>
          <w:szCs w:val="24"/>
        </w:rPr>
        <w:t>.</w:t>
      </w:r>
      <w:r w:rsidRPr="00211D94">
        <w:rPr>
          <w:rFonts w:cs="Arial"/>
          <w:szCs w:val="24"/>
        </w:rPr>
        <w:t xml:space="preserve"> </w:t>
      </w:r>
      <w:r w:rsidR="0003787C" w:rsidRPr="00211D94">
        <w:rPr>
          <w:rFonts w:cs="Arial"/>
          <w:szCs w:val="24"/>
        </w:rPr>
        <w:t xml:space="preserve"> </w:t>
      </w:r>
    </w:p>
    <w:p w14:paraId="2AE87547" w14:textId="0D8EA98A" w:rsidR="006A6E44" w:rsidRPr="00211D94" w:rsidRDefault="00B63F3F" w:rsidP="006A6E44">
      <w:pPr>
        <w:spacing w:before="120" w:after="120"/>
        <w:rPr>
          <w:rFonts w:cs="Arial"/>
          <w:szCs w:val="24"/>
        </w:rPr>
      </w:pPr>
      <w:r w:rsidRPr="00211D94">
        <w:rPr>
          <w:rFonts w:cs="Arial"/>
          <w:szCs w:val="24"/>
        </w:rPr>
        <w:t xml:space="preserve">W 2022 r. IZ RPO WP stanęła przed nowym wyzwaniem – udzieleniem wsparcia obywatelom Ukrainy dotkniętym konfliktem zbrojnym. </w:t>
      </w:r>
      <w:r w:rsidR="005C5D36" w:rsidRPr="00211D94">
        <w:rPr>
          <w:rFonts w:cs="Arial"/>
          <w:szCs w:val="24"/>
        </w:rPr>
        <w:t>Biorąc pod uwagę sytuację nadzwyczajną, podobnie jak w przypadku COVID-19, IZ RPO WP podjęła działania służące wsparciu migrantów, którzy przebywa</w:t>
      </w:r>
      <w:r w:rsidRPr="00211D94">
        <w:rPr>
          <w:rFonts w:cs="Arial"/>
          <w:szCs w:val="24"/>
        </w:rPr>
        <w:t>li</w:t>
      </w:r>
      <w:r w:rsidR="005C5D36" w:rsidRPr="00211D94">
        <w:rPr>
          <w:rFonts w:cs="Arial"/>
          <w:szCs w:val="24"/>
        </w:rPr>
        <w:t xml:space="preserve"> na terenie województwa pomorskiego.</w:t>
      </w:r>
      <w:r w:rsidR="00C90D20" w:rsidRPr="00211D94">
        <w:rPr>
          <w:rFonts w:cs="Arial"/>
          <w:szCs w:val="24"/>
        </w:rPr>
        <w:t xml:space="preserve"> W związku z tym</w:t>
      </w:r>
      <w:r w:rsidR="006A6E44" w:rsidRPr="00211D94">
        <w:rPr>
          <w:rFonts w:cs="Arial"/>
          <w:szCs w:val="24"/>
        </w:rPr>
        <w:t xml:space="preserve"> wprowadz</w:t>
      </w:r>
      <w:r w:rsidRPr="00211D94">
        <w:rPr>
          <w:rFonts w:cs="Arial"/>
          <w:szCs w:val="24"/>
        </w:rPr>
        <w:t>ono</w:t>
      </w:r>
      <w:r w:rsidR="006A6E44" w:rsidRPr="00211D94">
        <w:rPr>
          <w:rFonts w:cs="Arial"/>
          <w:szCs w:val="24"/>
        </w:rPr>
        <w:t xml:space="preserve"> zmiany w Programie oraz </w:t>
      </w:r>
      <w:r w:rsidR="00DA039A" w:rsidRPr="00211D94">
        <w:rPr>
          <w:rFonts w:cs="Arial"/>
          <w:szCs w:val="24"/>
        </w:rPr>
        <w:t xml:space="preserve">podjęto </w:t>
      </w:r>
      <w:r w:rsidR="006A6E44" w:rsidRPr="00211D94">
        <w:rPr>
          <w:rFonts w:cs="Arial"/>
          <w:szCs w:val="24"/>
        </w:rPr>
        <w:t>działania usprawniając</w:t>
      </w:r>
      <w:r w:rsidR="00DA039A" w:rsidRPr="00211D94">
        <w:rPr>
          <w:rFonts w:cs="Arial"/>
          <w:szCs w:val="24"/>
        </w:rPr>
        <w:t>e</w:t>
      </w:r>
      <w:r w:rsidR="006A6E44" w:rsidRPr="00211D94">
        <w:rPr>
          <w:rFonts w:cs="Arial"/>
          <w:szCs w:val="24"/>
        </w:rPr>
        <w:t xml:space="preserve"> proces wdrażania, zmierzając</w:t>
      </w:r>
      <w:r w:rsidR="00DA039A" w:rsidRPr="00211D94">
        <w:rPr>
          <w:rFonts w:cs="Arial"/>
          <w:szCs w:val="24"/>
        </w:rPr>
        <w:t>e</w:t>
      </w:r>
      <w:r w:rsidR="006A6E44" w:rsidRPr="00211D94">
        <w:rPr>
          <w:rFonts w:cs="Arial"/>
          <w:szCs w:val="24"/>
        </w:rPr>
        <w:t xml:space="preserve"> do przezwyciężenia konsekwencji gospodarczych i społecznych spowodowanych konfliktem zbrojnym </w:t>
      </w:r>
      <w:r w:rsidR="00C62329" w:rsidRPr="00211D94">
        <w:rPr>
          <w:rFonts w:cs="Arial"/>
          <w:szCs w:val="24"/>
        </w:rPr>
        <w:t xml:space="preserve">w </w:t>
      </w:r>
      <w:r w:rsidR="006A6E44" w:rsidRPr="00211D94">
        <w:rPr>
          <w:rFonts w:cs="Arial"/>
          <w:szCs w:val="24"/>
        </w:rPr>
        <w:t>Ukrainie. Konieczna była zmiana zapisów RPO WP polegając</w:t>
      </w:r>
      <w:r w:rsidR="00345CDA" w:rsidRPr="00211D94">
        <w:rPr>
          <w:rFonts w:cs="Arial"/>
          <w:szCs w:val="24"/>
        </w:rPr>
        <w:t>a</w:t>
      </w:r>
      <w:r w:rsidR="006A6E44" w:rsidRPr="00211D94">
        <w:rPr>
          <w:rFonts w:cs="Arial"/>
          <w:szCs w:val="24"/>
        </w:rPr>
        <w:t xml:space="preserve"> </w:t>
      </w:r>
      <w:r w:rsidR="0003787C" w:rsidRPr="00211D94">
        <w:rPr>
          <w:rFonts w:cs="Arial"/>
          <w:szCs w:val="24"/>
        </w:rPr>
        <w:t xml:space="preserve">w szczególności </w:t>
      </w:r>
      <w:r w:rsidR="006A6E44" w:rsidRPr="00211D94">
        <w:rPr>
          <w:rFonts w:cs="Arial"/>
          <w:szCs w:val="24"/>
        </w:rPr>
        <w:t xml:space="preserve">na realokacji środków EFS z </w:t>
      </w:r>
      <w:r w:rsidR="00C62329" w:rsidRPr="00211D94">
        <w:rPr>
          <w:rFonts w:cs="Arial"/>
          <w:szCs w:val="24"/>
        </w:rPr>
        <w:t>OP3. Edukacja, OP5. Zatrudnienie, OP6. Integracja d</w:t>
      </w:r>
      <w:r w:rsidR="006A6E44" w:rsidRPr="00211D94">
        <w:rPr>
          <w:rFonts w:cs="Arial"/>
          <w:szCs w:val="24"/>
        </w:rPr>
        <w:t xml:space="preserve">o nowej osi priorytetowej </w:t>
      </w:r>
      <w:r w:rsidR="00C62329" w:rsidRPr="00211D94">
        <w:rPr>
          <w:rFonts w:cs="Arial"/>
          <w:szCs w:val="24"/>
        </w:rPr>
        <w:t>OP</w:t>
      </w:r>
      <w:r w:rsidR="006A6E44" w:rsidRPr="00211D94">
        <w:rPr>
          <w:rFonts w:cs="Arial"/>
          <w:szCs w:val="24"/>
        </w:rPr>
        <w:t>14</w:t>
      </w:r>
      <w:r w:rsidR="00C62329" w:rsidRPr="00211D94">
        <w:rPr>
          <w:rFonts w:cs="Arial"/>
          <w:szCs w:val="24"/>
        </w:rPr>
        <w:t>.</w:t>
      </w:r>
      <w:r w:rsidR="006A6E44" w:rsidRPr="00211D94">
        <w:rPr>
          <w:rFonts w:cs="Arial"/>
          <w:szCs w:val="24"/>
        </w:rPr>
        <w:t xml:space="preserve"> Integracja imigrantów oraz rozszerzeniu zakresu interwencji w ramach wszystkich osi priorytetowych EFS na obywateli państw trzecich uciekających przed wojną</w:t>
      </w:r>
      <w:r w:rsidR="00C62329" w:rsidRPr="00211D94">
        <w:rPr>
          <w:rFonts w:cs="Arial"/>
          <w:szCs w:val="24"/>
        </w:rPr>
        <w:t xml:space="preserve"> w</w:t>
      </w:r>
      <w:r w:rsidR="006A6E44" w:rsidRPr="00211D94">
        <w:rPr>
          <w:rFonts w:cs="Arial"/>
          <w:szCs w:val="24"/>
        </w:rPr>
        <w:t xml:space="preserve"> Ukrainie.</w:t>
      </w:r>
    </w:p>
    <w:p w14:paraId="7D17CD15" w14:textId="3B273ACF" w:rsidR="00CD4DBE" w:rsidRPr="00211D94" w:rsidRDefault="00CD4DBE" w:rsidP="00F55865">
      <w:pPr>
        <w:spacing w:before="120" w:after="120"/>
        <w:rPr>
          <w:rFonts w:cs="Arial"/>
          <w:szCs w:val="24"/>
        </w:rPr>
      </w:pPr>
      <w:r w:rsidRPr="00211D94">
        <w:rPr>
          <w:rFonts w:cs="Arial"/>
          <w:szCs w:val="24"/>
        </w:rPr>
        <w:t xml:space="preserve">Wyniki audytów prowadzonych w ramach RPO WP przez </w:t>
      </w:r>
      <w:r w:rsidR="0095222F" w:rsidRPr="00211D94">
        <w:rPr>
          <w:rFonts w:cs="Arial"/>
          <w:szCs w:val="24"/>
        </w:rPr>
        <w:t>IA</w:t>
      </w:r>
      <w:r w:rsidRPr="00211D94">
        <w:rPr>
          <w:rFonts w:cs="Arial"/>
          <w:szCs w:val="24"/>
        </w:rPr>
        <w:t xml:space="preserve">, </w:t>
      </w:r>
      <w:r w:rsidR="0095222F" w:rsidRPr="00211D94">
        <w:rPr>
          <w:rFonts w:cs="Arial"/>
          <w:szCs w:val="24"/>
        </w:rPr>
        <w:t>KE</w:t>
      </w:r>
      <w:r w:rsidRPr="00211D94">
        <w:rPr>
          <w:rFonts w:cs="Arial"/>
          <w:szCs w:val="24"/>
        </w:rPr>
        <w:t xml:space="preserve"> oraz inne właściwe instytucje </w:t>
      </w:r>
      <w:r w:rsidR="00DA039A" w:rsidRPr="00211D94">
        <w:rPr>
          <w:rFonts w:cs="Arial"/>
          <w:szCs w:val="24"/>
        </w:rPr>
        <w:t>potwierdziły prawidłowe funkcjonowanie systemu zarządzania i kontroli – ocenionego każdorazowo w kategorii 1 lub 2. Wnioski z audytów i zaleceń</w:t>
      </w:r>
      <w:r w:rsidRPr="00211D94">
        <w:rPr>
          <w:rFonts w:cs="Arial"/>
          <w:szCs w:val="24"/>
        </w:rPr>
        <w:t xml:space="preserve"> przyczyniły się do udoskonalenia zakresu istniejących procedur IZ oraz IP, wzmacniając system zarządzania i kontroli pod kątem nowych obszarów/wyzwań gwarantujących prawidłowe wydatkowanie funduszy Polityki Spójności, istotnych również w kolejnej perspektywie finansowej (np. zagadnienie konfliktu interesów). Nie stwierdzono kwestii, które mogłyby mieć negatywny wpływ na zamknięcie Programu lub opóźniać uruchomienie środków w ramach </w:t>
      </w:r>
      <w:r w:rsidR="0003787C" w:rsidRPr="00211D94">
        <w:rPr>
          <w:rFonts w:cs="Arial"/>
          <w:szCs w:val="24"/>
        </w:rPr>
        <w:t xml:space="preserve">FEP </w:t>
      </w:r>
      <w:r w:rsidRPr="00211D94">
        <w:rPr>
          <w:rFonts w:cs="Arial"/>
          <w:szCs w:val="24"/>
        </w:rPr>
        <w:t>2021-2027.</w:t>
      </w:r>
    </w:p>
    <w:p w14:paraId="4447AF1C" w14:textId="7271638C" w:rsidR="00B318DE" w:rsidRPr="00211D94" w:rsidRDefault="00DA039A" w:rsidP="00F55865">
      <w:pPr>
        <w:spacing w:before="120" w:after="120"/>
        <w:rPr>
          <w:rFonts w:cs="Arial"/>
          <w:szCs w:val="24"/>
          <w:lang w:eastAsia="pl-PL"/>
        </w:rPr>
      </w:pPr>
      <w:r w:rsidRPr="00211D94">
        <w:rPr>
          <w:rFonts w:cs="Arial"/>
          <w:szCs w:val="24"/>
        </w:rPr>
        <w:t>Kontrole prowadzone przez IZ i IP w większości przypadków potwierdziły prawidłową realizację projektów. Zidentyfikowane pojedyncze nieprawidłowości zostały skorygowane w rozliczeniach finansowych, co potwierdza skuteczność systemu nadzoru i kontroli w ramach RPO WP</w:t>
      </w:r>
      <w:r w:rsidR="00CD4DBE" w:rsidRPr="00211D94">
        <w:rPr>
          <w:rFonts w:cs="Arial"/>
          <w:szCs w:val="24"/>
        </w:rPr>
        <w:t>.</w:t>
      </w:r>
    </w:p>
    <w:p w14:paraId="1C24B787" w14:textId="539C58F1" w:rsidR="005D08A9" w:rsidRPr="00211D94" w:rsidRDefault="005D08A9" w:rsidP="00F55865">
      <w:pPr>
        <w:pStyle w:val="Nagwek2"/>
        <w:spacing w:before="120" w:after="120"/>
        <w:rPr>
          <w:rStyle w:val="StylArial9ptNiebieskoszary"/>
          <w:rFonts w:cs="Arial"/>
          <w:color w:val="FFFFFF" w:themeColor="background1"/>
          <w:sz w:val="28"/>
        </w:rPr>
      </w:pPr>
      <w:bookmarkStart w:id="101" w:name="_Toc128729236"/>
      <w:bookmarkStart w:id="102" w:name="_Toc214025272"/>
      <w:r w:rsidRPr="00211D94">
        <w:rPr>
          <w:rStyle w:val="StylArial9ptNiebieskoszary"/>
          <w:rFonts w:cs="Arial"/>
          <w:color w:val="FFFFFF" w:themeColor="background1"/>
          <w:sz w:val="28"/>
        </w:rPr>
        <w:t>b) Ocena, czy postępy poczynione w zakresie celów pośrednich są wystarczające, aby zapewnić ich realizację, wskazanie wszelkich podjętych lub planowanych działań naprawczych (w stosownych przypadkach).</w:t>
      </w:r>
      <w:bookmarkEnd w:id="101"/>
      <w:bookmarkEnd w:id="102"/>
    </w:p>
    <w:p w14:paraId="58BA9B59" w14:textId="77777777" w:rsidR="0052481B" w:rsidRPr="00211D94" w:rsidRDefault="0052481B" w:rsidP="00F55865">
      <w:pPr>
        <w:spacing w:before="120" w:after="120"/>
        <w:rPr>
          <w:rFonts w:cs="Arial"/>
          <w:szCs w:val="24"/>
        </w:rPr>
      </w:pPr>
      <w:r w:rsidRPr="00211D94">
        <w:rPr>
          <w:rFonts w:cs="Arial"/>
          <w:szCs w:val="24"/>
        </w:rPr>
        <w:t>Nie dotyczy bieżącego sprawozdania.</w:t>
      </w:r>
    </w:p>
    <w:p w14:paraId="29767CDB" w14:textId="7696228F" w:rsidR="00F72A5E" w:rsidRPr="00211D94" w:rsidRDefault="00F72A5E" w:rsidP="00F55865">
      <w:pPr>
        <w:pStyle w:val="Nagwek1"/>
        <w:spacing w:before="120" w:after="120"/>
        <w:rPr>
          <w:rFonts w:cs="Arial"/>
          <w:color w:val="FFFFFF" w:themeColor="background1"/>
          <w:szCs w:val="24"/>
        </w:rPr>
      </w:pPr>
      <w:bookmarkStart w:id="103" w:name="_Toc214025273"/>
      <w:r w:rsidRPr="00211D94">
        <w:rPr>
          <w:rFonts w:cs="Arial"/>
          <w:color w:val="FFFFFF" w:themeColor="background1"/>
          <w:szCs w:val="24"/>
        </w:rPr>
        <w:t>7</w:t>
      </w:r>
      <w:r w:rsidR="009E0224" w:rsidRPr="00211D94">
        <w:rPr>
          <w:rFonts w:cs="Arial"/>
          <w:color w:val="FFFFFF" w:themeColor="background1"/>
          <w:szCs w:val="24"/>
        </w:rPr>
        <w:t>. S</w:t>
      </w:r>
      <w:r w:rsidR="00BB5CD5" w:rsidRPr="00211D94">
        <w:rPr>
          <w:rFonts w:cs="Arial"/>
          <w:color w:val="FFFFFF" w:themeColor="background1"/>
          <w:szCs w:val="24"/>
        </w:rPr>
        <w:t xml:space="preserve">treszczenie podawane do wiadomości publicznej </w:t>
      </w:r>
      <w:r w:rsidRPr="00211D94">
        <w:rPr>
          <w:rFonts w:cs="Arial"/>
          <w:color w:val="FFFFFF" w:themeColor="background1"/>
          <w:szCs w:val="24"/>
        </w:rPr>
        <w:t xml:space="preserve">(art. 50 ust. 9 rozporządzenia </w:t>
      </w:r>
      <w:r w:rsidR="00726583" w:rsidRPr="00211D94">
        <w:rPr>
          <w:rFonts w:cs="Arial"/>
          <w:color w:val="FFFFFF" w:themeColor="background1"/>
          <w:szCs w:val="24"/>
        </w:rPr>
        <w:t>ogólnego)</w:t>
      </w:r>
      <w:bookmarkEnd w:id="103"/>
    </w:p>
    <w:p w14:paraId="27079D12" w14:textId="70787C69" w:rsidR="00C865FF" w:rsidRPr="00211D94" w:rsidRDefault="00C865FF" w:rsidP="00F55865">
      <w:pPr>
        <w:spacing w:before="120" w:after="120"/>
        <w:rPr>
          <w:rFonts w:cs="Arial"/>
          <w:szCs w:val="24"/>
        </w:rPr>
      </w:pPr>
      <w:bookmarkStart w:id="104" w:name="_Toc448400376"/>
      <w:bookmarkStart w:id="105" w:name="_Toc448400737"/>
      <w:bookmarkStart w:id="106" w:name="_Toc448400765"/>
      <w:bookmarkStart w:id="107" w:name="_Toc448400793"/>
      <w:bookmarkStart w:id="108" w:name="_Toc448400888"/>
      <w:bookmarkStart w:id="109" w:name="_Toc448403956"/>
      <w:r w:rsidRPr="00211D94">
        <w:rPr>
          <w:rFonts w:cs="Arial"/>
        </w:rPr>
        <w:t xml:space="preserve">Załącznik </w:t>
      </w:r>
      <w:r w:rsidR="00206C8D" w:rsidRPr="00211D94">
        <w:rPr>
          <w:rFonts w:cs="Arial"/>
        </w:rPr>
        <w:t>F</w:t>
      </w:r>
      <w:r w:rsidRPr="00211D94">
        <w:rPr>
          <w:rFonts w:cs="Arial"/>
        </w:rPr>
        <w:t xml:space="preserve"> . Streszczenie </w:t>
      </w:r>
      <w:r w:rsidR="00345CDA" w:rsidRPr="00211D94">
        <w:rPr>
          <w:rFonts w:cs="Arial"/>
        </w:rPr>
        <w:t>sprawozdania</w:t>
      </w:r>
      <w:r w:rsidRPr="00211D94">
        <w:rPr>
          <w:rFonts w:cs="Arial"/>
        </w:rPr>
        <w:t xml:space="preserve"> z realizacji RPO WP 2014-2020</w:t>
      </w:r>
      <w:bookmarkEnd w:id="104"/>
      <w:bookmarkEnd w:id="105"/>
      <w:bookmarkEnd w:id="106"/>
      <w:bookmarkEnd w:id="107"/>
      <w:bookmarkEnd w:id="108"/>
      <w:bookmarkEnd w:id="109"/>
      <w:r w:rsidRPr="00211D94">
        <w:rPr>
          <w:rFonts w:cs="Arial"/>
        </w:rPr>
        <w:t>.</w:t>
      </w:r>
    </w:p>
    <w:p w14:paraId="4910EA9F" w14:textId="39CFB6B3" w:rsidR="00F72A5E" w:rsidRPr="00211D94" w:rsidRDefault="00F72A5E" w:rsidP="00F55865">
      <w:pPr>
        <w:pStyle w:val="Nagwek1"/>
        <w:spacing w:before="120" w:after="120"/>
        <w:rPr>
          <w:rFonts w:cs="Arial"/>
          <w:color w:val="FFFFFF" w:themeColor="background1"/>
          <w:szCs w:val="24"/>
        </w:rPr>
      </w:pPr>
      <w:bookmarkStart w:id="110" w:name="_Toc214025274"/>
      <w:r w:rsidRPr="00211D94">
        <w:rPr>
          <w:rFonts w:cs="Arial"/>
          <w:color w:val="FFFFFF" w:themeColor="background1"/>
          <w:szCs w:val="24"/>
        </w:rPr>
        <w:t>8.</w:t>
      </w:r>
      <w:r w:rsidR="008102E9" w:rsidRPr="00211D94">
        <w:rPr>
          <w:rFonts w:cs="Arial"/>
          <w:color w:val="FFFFFF" w:themeColor="background1"/>
          <w:szCs w:val="24"/>
        </w:rPr>
        <w:t xml:space="preserve"> </w:t>
      </w:r>
      <w:r w:rsidR="00BB5CD5" w:rsidRPr="00211D94">
        <w:rPr>
          <w:rFonts w:cs="Arial"/>
          <w:color w:val="FFFFFF" w:themeColor="background1"/>
          <w:szCs w:val="24"/>
        </w:rPr>
        <w:t xml:space="preserve">Sprawozdanie z wdrażania instrumentów finansowych </w:t>
      </w:r>
      <w:r w:rsidRPr="00211D94">
        <w:rPr>
          <w:rFonts w:cs="Arial"/>
          <w:color w:val="FFFFFF" w:themeColor="background1"/>
          <w:szCs w:val="24"/>
        </w:rPr>
        <w:t xml:space="preserve">(art. 46 rozporządzenia </w:t>
      </w:r>
      <w:r w:rsidR="00726583" w:rsidRPr="00211D94">
        <w:rPr>
          <w:rFonts w:cs="Arial"/>
          <w:color w:val="FFFFFF" w:themeColor="background1"/>
          <w:szCs w:val="24"/>
        </w:rPr>
        <w:t>ogólnego</w:t>
      </w:r>
      <w:r w:rsidRPr="00211D94">
        <w:rPr>
          <w:rFonts w:cs="Arial"/>
          <w:color w:val="FFFFFF" w:themeColor="background1"/>
          <w:szCs w:val="24"/>
        </w:rPr>
        <w:t>)</w:t>
      </w:r>
      <w:bookmarkEnd w:id="110"/>
    </w:p>
    <w:p w14:paraId="7112C11D" w14:textId="77777777" w:rsidR="00C865FF" w:rsidRPr="00211D94" w:rsidRDefault="00C865FF" w:rsidP="00F55865">
      <w:pPr>
        <w:pStyle w:val="Default"/>
        <w:spacing w:before="120" w:after="120" w:line="276" w:lineRule="auto"/>
        <w:rPr>
          <w:color w:val="auto"/>
        </w:rPr>
      </w:pPr>
      <w:r w:rsidRPr="00211D94">
        <w:rPr>
          <w:bCs/>
          <w:color w:val="auto"/>
        </w:rPr>
        <w:t>Załącznik A.</w:t>
      </w:r>
      <w:r w:rsidRPr="00211D94">
        <w:rPr>
          <w:b/>
          <w:bCs/>
          <w:color w:val="auto"/>
        </w:rPr>
        <w:t xml:space="preserve"> </w:t>
      </w:r>
      <w:r w:rsidRPr="00211D94">
        <w:rPr>
          <w:color w:val="auto"/>
        </w:rPr>
        <w:t>Sprawozdanie z wdrażania instrumentów finansowych (OP1).</w:t>
      </w:r>
    </w:p>
    <w:p w14:paraId="77875F1B" w14:textId="77777777" w:rsidR="00C865FF" w:rsidRPr="00211D94" w:rsidRDefault="00C865FF" w:rsidP="00F55865">
      <w:pPr>
        <w:pStyle w:val="Default"/>
        <w:spacing w:before="120" w:after="120" w:line="276" w:lineRule="auto"/>
        <w:rPr>
          <w:color w:val="auto"/>
        </w:rPr>
      </w:pPr>
      <w:r w:rsidRPr="00211D94">
        <w:rPr>
          <w:bCs/>
          <w:color w:val="auto"/>
        </w:rPr>
        <w:t>Załącznik B.</w:t>
      </w:r>
      <w:r w:rsidRPr="00211D94">
        <w:rPr>
          <w:b/>
          <w:bCs/>
          <w:color w:val="auto"/>
        </w:rPr>
        <w:t xml:space="preserve"> </w:t>
      </w:r>
      <w:r w:rsidRPr="00211D94">
        <w:rPr>
          <w:color w:val="auto"/>
        </w:rPr>
        <w:t>Sprawozdanie z wdrażania instrumentów finansowych (OP2).</w:t>
      </w:r>
    </w:p>
    <w:p w14:paraId="1F588C77" w14:textId="77777777" w:rsidR="00C865FF" w:rsidRPr="00211D94" w:rsidRDefault="00C865FF" w:rsidP="00F55865">
      <w:pPr>
        <w:pStyle w:val="Default"/>
        <w:spacing w:before="120" w:after="120" w:line="276" w:lineRule="auto"/>
        <w:rPr>
          <w:color w:val="auto"/>
        </w:rPr>
      </w:pPr>
      <w:r w:rsidRPr="00211D94">
        <w:rPr>
          <w:bCs/>
          <w:color w:val="auto"/>
        </w:rPr>
        <w:t>Załącznik C.</w:t>
      </w:r>
      <w:r w:rsidRPr="00211D94">
        <w:rPr>
          <w:b/>
          <w:bCs/>
          <w:color w:val="auto"/>
        </w:rPr>
        <w:t xml:space="preserve"> </w:t>
      </w:r>
      <w:r w:rsidRPr="00211D94">
        <w:rPr>
          <w:color w:val="auto"/>
        </w:rPr>
        <w:t>Sprawozdanie z wdrażania instrumentów finansowych (OP8).</w:t>
      </w:r>
    </w:p>
    <w:p w14:paraId="3416FDC8" w14:textId="4EE8BBC8" w:rsidR="00C865FF" w:rsidRPr="00211D94" w:rsidRDefault="00C865FF" w:rsidP="00F55865">
      <w:pPr>
        <w:pStyle w:val="Default"/>
        <w:spacing w:before="120" w:after="120" w:line="276" w:lineRule="auto"/>
        <w:rPr>
          <w:color w:val="auto"/>
        </w:rPr>
      </w:pPr>
      <w:r w:rsidRPr="00211D94">
        <w:rPr>
          <w:bCs/>
          <w:color w:val="auto"/>
        </w:rPr>
        <w:t>Załącznik D.</w:t>
      </w:r>
      <w:r w:rsidRPr="00211D94">
        <w:rPr>
          <w:b/>
          <w:bCs/>
          <w:color w:val="auto"/>
        </w:rPr>
        <w:t xml:space="preserve"> </w:t>
      </w:r>
      <w:r w:rsidRPr="00211D94">
        <w:rPr>
          <w:color w:val="auto"/>
        </w:rPr>
        <w:t>Sprawozdanie z wdrażania instrumentów finansowych (OP10).</w:t>
      </w:r>
    </w:p>
    <w:p w14:paraId="5178B91A" w14:textId="2272DD87" w:rsidR="00206C8D" w:rsidRPr="00211D94" w:rsidRDefault="00206C8D" w:rsidP="00F55865">
      <w:pPr>
        <w:pStyle w:val="Default"/>
        <w:spacing w:before="120" w:after="120" w:line="276" w:lineRule="auto"/>
        <w:rPr>
          <w:color w:val="auto"/>
        </w:rPr>
      </w:pPr>
      <w:r w:rsidRPr="00211D94">
        <w:rPr>
          <w:bCs/>
          <w:color w:val="auto"/>
        </w:rPr>
        <w:t xml:space="preserve">Załącznik </w:t>
      </w:r>
      <w:r w:rsidR="009F18D9" w:rsidRPr="00211D94">
        <w:rPr>
          <w:bCs/>
          <w:color w:val="auto"/>
        </w:rPr>
        <w:t>E</w:t>
      </w:r>
      <w:r w:rsidRPr="00211D94">
        <w:rPr>
          <w:bCs/>
          <w:color w:val="auto"/>
        </w:rPr>
        <w:t>.</w:t>
      </w:r>
      <w:r w:rsidRPr="00211D94">
        <w:rPr>
          <w:b/>
          <w:bCs/>
          <w:color w:val="auto"/>
        </w:rPr>
        <w:t xml:space="preserve"> </w:t>
      </w:r>
      <w:r w:rsidRPr="00211D94">
        <w:rPr>
          <w:color w:val="auto"/>
        </w:rPr>
        <w:t>Sprawozdanie z wdrażania instrumentów finansowych (OP1</w:t>
      </w:r>
      <w:r w:rsidR="009F18D9" w:rsidRPr="00211D94">
        <w:rPr>
          <w:color w:val="auto"/>
        </w:rPr>
        <w:t>3</w:t>
      </w:r>
      <w:r w:rsidRPr="00211D94">
        <w:rPr>
          <w:color w:val="auto"/>
        </w:rPr>
        <w:t>).</w:t>
      </w:r>
    </w:p>
    <w:p w14:paraId="155ED21D" w14:textId="240A8658" w:rsidR="00E13D6F" w:rsidRPr="00211D94" w:rsidRDefault="00B86D89" w:rsidP="00F55865">
      <w:pPr>
        <w:pStyle w:val="Nagwek1"/>
        <w:spacing w:before="120" w:after="120"/>
        <w:rPr>
          <w:rFonts w:cs="Arial"/>
          <w:color w:val="FFFFFF" w:themeColor="background1"/>
          <w:szCs w:val="24"/>
        </w:rPr>
      </w:pPr>
      <w:bookmarkStart w:id="111" w:name="_Toc214025275"/>
      <w:r w:rsidRPr="00211D94">
        <w:rPr>
          <w:rFonts w:cs="Arial"/>
          <w:color w:val="FFFFFF" w:themeColor="background1"/>
          <w:szCs w:val="24"/>
        </w:rPr>
        <w:t xml:space="preserve">9. </w:t>
      </w:r>
      <w:r w:rsidR="00BB5CD5" w:rsidRPr="00211D94">
        <w:rPr>
          <w:rFonts w:cs="Arial"/>
          <w:color w:val="FFFFFF" w:themeColor="background1"/>
          <w:szCs w:val="24"/>
        </w:rPr>
        <w:t>Działania podjęte w celu spełnienia warunków wstępnych</w:t>
      </w:r>
      <w:r w:rsidR="00F72A5E" w:rsidRPr="00211D94">
        <w:rPr>
          <w:rFonts w:cs="Arial"/>
          <w:color w:val="FFFFFF" w:themeColor="background1"/>
          <w:szCs w:val="24"/>
        </w:rPr>
        <w:t xml:space="preserve"> (art. 50 ust. 2 </w:t>
      </w:r>
      <w:r w:rsidRPr="00211D94">
        <w:rPr>
          <w:rFonts w:cs="Arial"/>
          <w:color w:val="FFFFFF" w:themeColor="background1"/>
          <w:szCs w:val="24"/>
        </w:rPr>
        <w:t xml:space="preserve">i 4 </w:t>
      </w:r>
      <w:r w:rsidR="00F72A5E" w:rsidRPr="00211D94">
        <w:rPr>
          <w:rFonts w:cs="Arial"/>
          <w:color w:val="FFFFFF" w:themeColor="background1"/>
          <w:szCs w:val="24"/>
        </w:rPr>
        <w:t xml:space="preserve">rozporządzenia </w:t>
      </w:r>
      <w:r w:rsidR="00726583" w:rsidRPr="00211D94">
        <w:rPr>
          <w:rFonts w:cs="Arial"/>
          <w:color w:val="FFFFFF" w:themeColor="background1"/>
          <w:szCs w:val="24"/>
        </w:rPr>
        <w:t>ogólnego</w:t>
      </w:r>
      <w:r w:rsidR="00F72A5E" w:rsidRPr="00211D94">
        <w:rPr>
          <w:rFonts w:cs="Arial"/>
          <w:color w:val="FFFFFF" w:themeColor="background1"/>
          <w:szCs w:val="24"/>
        </w:rPr>
        <w:t>), w przypadku gdy mające zastosowanie warunki wstępne nie zostały spełnione w momencie przyjmowania PO</w:t>
      </w:r>
      <w:bookmarkEnd w:id="111"/>
    </w:p>
    <w:p w14:paraId="71AF4D17" w14:textId="77777777" w:rsidR="00387FB0" w:rsidRPr="00211D94" w:rsidRDefault="005D5C71" w:rsidP="00F55865">
      <w:pPr>
        <w:spacing w:before="120" w:after="120"/>
        <w:rPr>
          <w:rFonts w:cs="Arial"/>
          <w:szCs w:val="24"/>
        </w:rPr>
      </w:pPr>
      <w:r w:rsidRPr="00211D94">
        <w:rPr>
          <w:rFonts w:cs="Arial"/>
          <w:szCs w:val="24"/>
        </w:rPr>
        <w:t>N</w:t>
      </w:r>
      <w:r w:rsidR="00387FB0" w:rsidRPr="00211D94">
        <w:rPr>
          <w:rFonts w:cs="Arial"/>
          <w:szCs w:val="24"/>
        </w:rPr>
        <w:t>ie dotyczy</w:t>
      </w:r>
      <w:r w:rsidR="004544F9" w:rsidRPr="00211D94">
        <w:rPr>
          <w:rFonts w:cs="Arial"/>
          <w:szCs w:val="24"/>
        </w:rPr>
        <w:t xml:space="preserve"> bieżącego sprawozdania</w:t>
      </w:r>
      <w:r w:rsidR="00387FB0" w:rsidRPr="00211D94">
        <w:rPr>
          <w:rFonts w:cs="Arial"/>
          <w:szCs w:val="24"/>
        </w:rPr>
        <w:t>.</w:t>
      </w:r>
    </w:p>
    <w:p w14:paraId="6D2D7226" w14:textId="5579B6E5" w:rsidR="00F72A5E" w:rsidRPr="00211D94" w:rsidRDefault="00F72A5E" w:rsidP="00F55865">
      <w:pPr>
        <w:pStyle w:val="Nagwek1"/>
        <w:spacing w:before="120" w:after="120"/>
        <w:rPr>
          <w:rFonts w:cs="Arial"/>
          <w:color w:val="FFFFFF" w:themeColor="background1"/>
          <w:szCs w:val="24"/>
        </w:rPr>
      </w:pPr>
      <w:bookmarkStart w:id="112" w:name="_Toc214025276"/>
      <w:r w:rsidRPr="00211D94">
        <w:rPr>
          <w:rFonts w:cs="Arial"/>
          <w:color w:val="FFFFFF" w:themeColor="background1"/>
          <w:szCs w:val="24"/>
        </w:rPr>
        <w:t>10.</w:t>
      </w:r>
      <w:r w:rsidR="008102E9" w:rsidRPr="00211D94">
        <w:rPr>
          <w:rFonts w:cs="Arial"/>
          <w:color w:val="FFFFFF" w:themeColor="background1"/>
          <w:szCs w:val="24"/>
        </w:rPr>
        <w:t xml:space="preserve"> </w:t>
      </w:r>
      <w:r w:rsidR="00BB5CD5" w:rsidRPr="00211D94">
        <w:rPr>
          <w:rFonts w:cs="Arial"/>
          <w:color w:val="FFFFFF" w:themeColor="background1"/>
          <w:szCs w:val="24"/>
        </w:rPr>
        <w:t xml:space="preserve">Postępy w przygotowaniu i wdrażanie dużych projektów i wspólnych planów działania </w:t>
      </w:r>
      <w:r w:rsidRPr="00211D94">
        <w:rPr>
          <w:rFonts w:cs="Arial"/>
          <w:color w:val="FFFFFF" w:themeColor="background1"/>
          <w:szCs w:val="24"/>
        </w:rPr>
        <w:t xml:space="preserve">(art. 101 lit. h) i art. 111 ust. 3 rozporządzenia </w:t>
      </w:r>
      <w:r w:rsidR="00726583" w:rsidRPr="00211D94">
        <w:rPr>
          <w:rFonts w:cs="Arial"/>
          <w:color w:val="FFFFFF" w:themeColor="background1"/>
          <w:szCs w:val="24"/>
        </w:rPr>
        <w:t>ogólnego)</w:t>
      </w:r>
      <w:bookmarkEnd w:id="112"/>
    </w:p>
    <w:p w14:paraId="03811352" w14:textId="77777777" w:rsidR="00F72A5E" w:rsidRPr="00211D94" w:rsidRDefault="00F72A5E" w:rsidP="00F55865">
      <w:pPr>
        <w:pStyle w:val="Nagwek2"/>
        <w:spacing w:before="120" w:after="120"/>
        <w:rPr>
          <w:rFonts w:cs="Arial"/>
          <w:color w:val="FFFFFF" w:themeColor="background1"/>
        </w:rPr>
      </w:pPr>
      <w:bookmarkStart w:id="113" w:name="_Toc214025277"/>
      <w:r w:rsidRPr="00211D94">
        <w:rPr>
          <w:rFonts w:cs="Arial"/>
          <w:color w:val="FFFFFF" w:themeColor="background1"/>
        </w:rPr>
        <w:t>10.1.</w:t>
      </w:r>
      <w:r w:rsidR="008102E9" w:rsidRPr="00211D94">
        <w:rPr>
          <w:rFonts w:cs="Arial"/>
          <w:color w:val="FFFFFF" w:themeColor="background1"/>
        </w:rPr>
        <w:t xml:space="preserve"> </w:t>
      </w:r>
      <w:r w:rsidRPr="00211D94">
        <w:rPr>
          <w:rStyle w:val="bold"/>
          <w:rFonts w:cs="Arial"/>
          <w:color w:val="FFFFFF" w:themeColor="background1"/>
        </w:rPr>
        <w:t>Duże projekty</w:t>
      </w:r>
      <w:bookmarkEnd w:id="113"/>
      <w:r w:rsidRPr="00211D94">
        <w:rPr>
          <w:rFonts w:cs="Arial"/>
          <w:color w:val="FFFFFF" w:themeColor="background1"/>
        </w:rPr>
        <w:t xml:space="preserve"> </w:t>
      </w:r>
    </w:p>
    <w:p w14:paraId="09CED97B" w14:textId="1F90CBFF" w:rsidR="00F75B9A" w:rsidRPr="00211D94" w:rsidRDefault="00983F9A" w:rsidP="00F55865">
      <w:pPr>
        <w:spacing w:before="120" w:after="120"/>
        <w:rPr>
          <w:rFonts w:cs="Arial"/>
          <w:szCs w:val="24"/>
        </w:rPr>
      </w:pPr>
      <w:r w:rsidRPr="00211D94">
        <w:rPr>
          <w:rFonts w:cs="Arial"/>
          <w:szCs w:val="24"/>
        </w:rPr>
        <w:t>Nie</w:t>
      </w:r>
      <w:r w:rsidR="00DF627B" w:rsidRPr="00211D94">
        <w:rPr>
          <w:rFonts w:cs="Arial"/>
          <w:szCs w:val="24"/>
        </w:rPr>
        <w:t xml:space="preserve"> zidentyfikowano dużych projektów</w:t>
      </w:r>
      <w:r w:rsidR="00F75B9A" w:rsidRPr="00211D94">
        <w:rPr>
          <w:rFonts w:cs="Arial"/>
          <w:szCs w:val="24"/>
        </w:rPr>
        <w:t>.</w:t>
      </w:r>
    </w:p>
    <w:p w14:paraId="5F79E8FF" w14:textId="77777777" w:rsidR="00F72A5E" w:rsidRPr="00211D94" w:rsidRDefault="00473ECE" w:rsidP="00F55865">
      <w:pPr>
        <w:pStyle w:val="Nagwek2"/>
        <w:spacing w:before="120" w:after="120"/>
        <w:rPr>
          <w:rFonts w:cs="Arial"/>
          <w:color w:val="FFFFFF" w:themeColor="background1"/>
        </w:rPr>
      </w:pPr>
      <w:bookmarkStart w:id="114" w:name="_Toc214025278"/>
      <w:r w:rsidRPr="00211D94">
        <w:rPr>
          <w:rFonts w:cs="Arial"/>
          <w:color w:val="FFFFFF" w:themeColor="background1"/>
        </w:rPr>
        <w:t>10.</w:t>
      </w:r>
      <w:r w:rsidR="00F72A5E" w:rsidRPr="00211D94">
        <w:rPr>
          <w:rFonts w:cs="Arial"/>
          <w:color w:val="FFFFFF" w:themeColor="background1"/>
        </w:rPr>
        <w:t>2.</w:t>
      </w:r>
      <w:r w:rsidR="008102E9" w:rsidRPr="00211D94">
        <w:rPr>
          <w:rFonts w:cs="Arial"/>
          <w:color w:val="FFFFFF" w:themeColor="background1"/>
        </w:rPr>
        <w:t xml:space="preserve"> </w:t>
      </w:r>
      <w:r w:rsidR="00F72A5E" w:rsidRPr="00211D94">
        <w:rPr>
          <w:rFonts w:cs="Arial"/>
          <w:color w:val="FFFFFF" w:themeColor="background1"/>
        </w:rPr>
        <w:t>Wspólne plany działania</w:t>
      </w:r>
      <w:bookmarkEnd w:id="114"/>
      <w:r w:rsidR="00F72A5E" w:rsidRPr="00211D94">
        <w:rPr>
          <w:rFonts w:cs="Arial"/>
          <w:color w:val="FFFFFF" w:themeColor="background1"/>
        </w:rPr>
        <w:t xml:space="preserve"> </w:t>
      </w:r>
    </w:p>
    <w:p w14:paraId="62EC6A02" w14:textId="25B67768" w:rsidR="00C444AB" w:rsidRPr="00211D94" w:rsidRDefault="00DF627B" w:rsidP="00F55865">
      <w:pPr>
        <w:spacing w:before="120" w:after="120"/>
        <w:rPr>
          <w:rFonts w:cs="Arial"/>
          <w:szCs w:val="24"/>
        </w:rPr>
      </w:pPr>
      <w:r w:rsidRPr="00211D94">
        <w:rPr>
          <w:rFonts w:cs="Arial"/>
          <w:szCs w:val="24"/>
        </w:rPr>
        <w:t>W Polsce IZ nie zdecydowały się na zastosowanie tego instrumentu, wobec czego punkt 10.2 pozostaje niewypełniony</w:t>
      </w:r>
      <w:r w:rsidR="00F75B9A" w:rsidRPr="00211D94">
        <w:rPr>
          <w:rFonts w:cs="Arial"/>
          <w:szCs w:val="24"/>
        </w:rPr>
        <w:t>.</w:t>
      </w:r>
    </w:p>
    <w:p w14:paraId="22ABB3BB" w14:textId="4A0B6EE0" w:rsidR="00523A6A" w:rsidRPr="00211D94" w:rsidRDefault="00455E44" w:rsidP="00F55865">
      <w:pPr>
        <w:pStyle w:val="Nagwek1"/>
        <w:spacing w:before="120" w:after="120"/>
        <w:rPr>
          <w:rFonts w:cs="Arial"/>
          <w:color w:val="FFFFFF" w:themeColor="background1"/>
          <w:szCs w:val="24"/>
        </w:rPr>
      </w:pPr>
      <w:bookmarkStart w:id="115" w:name="_Toc214025279"/>
      <w:r w:rsidRPr="00211D94">
        <w:rPr>
          <w:rFonts w:cs="Arial"/>
          <w:color w:val="FFFFFF" w:themeColor="background1"/>
          <w:szCs w:val="24"/>
        </w:rPr>
        <w:t xml:space="preserve">11. </w:t>
      </w:r>
      <w:r w:rsidR="00BB5CD5" w:rsidRPr="00211D94">
        <w:rPr>
          <w:rFonts w:cs="Arial"/>
          <w:color w:val="FFFFFF" w:themeColor="background1"/>
          <w:szCs w:val="24"/>
        </w:rPr>
        <w:t xml:space="preserve">Ocena wdrażania programu operacyjnego </w:t>
      </w:r>
      <w:r w:rsidR="00523A6A" w:rsidRPr="00211D94">
        <w:rPr>
          <w:rFonts w:cs="Arial"/>
          <w:color w:val="FFFFFF" w:themeColor="background1"/>
          <w:szCs w:val="24"/>
        </w:rPr>
        <w:t xml:space="preserve">(art. 50 ust. 4 i art. 111 ust. 4 rozporządzenia </w:t>
      </w:r>
      <w:r w:rsidR="00726583" w:rsidRPr="00211D94">
        <w:rPr>
          <w:rFonts w:cs="Arial"/>
          <w:color w:val="FFFFFF" w:themeColor="background1"/>
          <w:szCs w:val="24"/>
        </w:rPr>
        <w:t>ogólnego</w:t>
      </w:r>
      <w:r w:rsidR="00523A6A" w:rsidRPr="00211D94">
        <w:rPr>
          <w:rFonts w:cs="Arial"/>
          <w:color w:val="FFFFFF" w:themeColor="background1"/>
          <w:szCs w:val="24"/>
        </w:rPr>
        <w:t>)</w:t>
      </w:r>
      <w:bookmarkEnd w:id="115"/>
    </w:p>
    <w:p w14:paraId="301AE114" w14:textId="340DC8DD" w:rsidR="00523A6A" w:rsidRPr="00211D94" w:rsidRDefault="00523A6A" w:rsidP="00F55865">
      <w:pPr>
        <w:pStyle w:val="Nagwek2"/>
        <w:spacing w:before="120" w:after="120"/>
        <w:rPr>
          <w:rStyle w:val="bold"/>
          <w:rFonts w:cs="Arial"/>
          <w:iCs w:val="0"/>
          <w:color w:val="FFFFFF" w:themeColor="background1"/>
          <w:kern w:val="32"/>
          <w:sz w:val="32"/>
          <w:szCs w:val="32"/>
        </w:rPr>
      </w:pPr>
      <w:bookmarkStart w:id="116" w:name="_Toc214025280"/>
      <w:r w:rsidRPr="00211D94">
        <w:rPr>
          <w:rFonts w:cs="Arial"/>
          <w:color w:val="FFFFFF" w:themeColor="background1"/>
        </w:rPr>
        <w:t xml:space="preserve">11.1. Informacje zawarte w części A i realizacja celów programu (art. 50 ust. 4 rozporządzenia </w:t>
      </w:r>
      <w:r w:rsidR="00726583" w:rsidRPr="00211D94">
        <w:rPr>
          <w:rFonts w:cs="Arial"/>
          <w:color w:val="FFFFFF" w:themeColor="background1"/>
        </w:rPr>
        <w:t>ogólnego</w:t>
      </w:r>
      <w:r w:rsidRPr="00211D94">
        <w:rPr>
          <w:rFonts w:cs="Arial"/>
          <w:color w:val="FFFFFF" w:themeColor="background1"/>
        </w:rPr>
        <w:t>)</w:t>
      </w:r>
      <w:bookmarkEnd w:id="116"/>
    </w:p>
    <w:p w14:paraId="1D0D5E03" w14:textId="77777777" w:rsidR="007D0568" w:rsidRPr="00211D94" w:rsidRDefault="007D0568" w:rsidP="00F55865">
      <w:pPr>
        <w:pStyle w:val="Nagwek2"/>
        <w:spacing w:before="120" w:after="120"/>
        <w:rPr>
          <w:rFonts w:cs="Arial"/>
          <w:color w:val="FFFFFF" w:themeColor="background1"/>
        </w:rPr>
      </w:pPr>
      <w:bookmarkStart w:id="117" w:name="_Toc484443221"/>
      <w:bookmarkStart w:id="118" w:name="_Toc9418238"/>
      <w:bookmarkStart w:id="119" w:name="_Toc214025281"/>
      <w:bookmarkStart w:id="120" w:name="_Toc482339636"/>
      <w:bookmarkStart w:id="121" w:name="_Toc482340014"/>
      <w:bookmarkStart w:id="122" w:name="_Toc482784952"/>
      <w:bookmarkStart w:id="123" w:name="_Toc484443223"/>
      <w:bookmarkStart w:id="124" w:name="_Toc433345"/>
      <w:bookmarkStart w:id="125" w:name="_Toc3973359"/>
      <w:r w:rsidRPr="00211D94">
        <w:rPr>
          <w:rFonts w:cs="Arial"/>
          <w:color w:val="FFFFFF" w:themeColor="background1"/>
        </w:rPr>
        <w:t>OP1. KOMERCJALIZACJA WIEDZY</w:t>
      </w:r>
      <w:bookmarkEnd w:id="117"/>
      <w:bookmarkEnd w:id="118"/>
      <w:bookmarkEnd w:id="119"/>
    </w:p>
    <w:tbl>
      <w:tblPr>
        <w:tblW w:w="0" w:type="auto"/>
        <w:tblLook w:val="04A0" w:firstRow="1" w:lastRow="0" w:firstColumn="1" w:lastColumn="0" w:noHBand="0" w:noVBand="1"/>
      </w:tblPr>
      <w:tblGrid>
        <w:gridCol w:w="1446"/>
        <w:gridCol w:w="7626"/>
      </w:tblGrid>
      <w:tr w:rsidR="007D0568" w:rsidRPr="00211D94" w14:paraId="22E09964" w14:textId="77777777" w:rsidTr="00711391">
        <w:tc>
          <w:tcPr>
            <w:tcW w:w="1242" w:type="dxa"/>
            <w:shd w:val="clear" w:color="auto" w:fill="auto"/>
          </w:tcPr>
          <w:p w14:paraId="24DC6418" w14:textId="39C5FDC1"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6563305D" wp14:editId="0C54BE69">
                  <wp:extent cx="772160" cy="712470"/>
                  <wp:effectExtent l="0" t="0" r="8890" b="0"/>
                  <wp:docPr id="28" name="Obraz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712470"/>
                          </a:xfrm>
                          <a:prstGeom prst="rect">
                            <a:avLst/>
                          </a:prstGeom>
                          <a:noFill/>
                          <a:ln>
                            <a:noFill/>
                          </a:ln>
                        </pic:spPr>
                      </pic:pic>
                    </a:graphicData>
                  </a:graphic>
                </wp:inline>
              </w:drawing>
            </w:r>
          </w:p>
        </w:tc>
        <w:tc>
          <w:tcPr>
            <w:tcW w:w="7970" w:type="dxa"/>
            <w:shd w:val="clear" w:color="auto" w:fill="auto"/>
          </w:tcPr>
          <w:p w14:paraId="35F8BFBE" w14:textId="1690E5C5" w:rsidR="007D0568" w:rsidRPr="00211D94" w:rsidRDefault="007D0568" w:rsidP="00F55865">
            <w:pPr>
              <w:spacing w:before="120" w:after="120"/>
              <w:rPr>
                <w:rFonts w:cs="Arial"/>
                <w:b/>
                <w:szCs w:val="24"/>
              </w:rPr>
            </w:pPr>
            <w:r w:rsidRPr="00211D94">
              <w:rPr>
                <w:rFonts w:cs="Arial"/>
                <w:szCs w:val="24"/>
              </w:rPr>
              <w:t>OP1 odpowiada</w:t>
            </w:r>
            <w:r w:rsidR="009F18D9" w:rsidRPr="00211D94">
              <w:rPr>
                <w:rFonts w:cs="Arial"/>
                <w:szCs w:val="24"/>
              </w:rPr>
              <w:t>ła</w:t>
            </w:r>
            <w:r w:rsidRPr="00211D94">
              <w:rPr>
                <w:rFonts w:cs="Arial"/>
                <w:szCs w:val="24"/>
              </w:rPr>
              <w:t xml:space="preserve"> na wyzwania dotyczące stymulowania inwestycji przedsiębiorstw w rozwiązania innowacyjne i skuteczniejszej komercjalizacji dorobku sfery B+R poprzez inwestycje skupiające się na ekspansji przedsiębiorstw poprzez innowacje oraz transferze wiedzy do gospodarki.</w:t>
            </w:r>
          </w:p>
        </w:tc>
      </w:tr>
    </w:tbl>
    <w:p w14:paraId="672AF144" w14:textId="5F5A3534" w:rsidR="00756D1A" w:rsidRPr="00211D94" w:rsidRDefault="00F21B81" w:rsidP="00F55865">
      <w:pPr>
        <w:tabs>
          <w:tab w:val="left" w:pos="432"/>
        </w:tabs>
        <w:spacing w:before="120" w:after="120"/>
        <w:rPr>
          <w:rFonts w:cs="Arial"/>
          <w:szCs w:val="24"/>
        </w:rPr>
      </w:pPr>
      <w:r w:rsidRPr="00211D94">
        <w:rPr>
          <w:rFonts w:cs="Arial"/>
          <w:szCs w:val="24"/>
        </w:rPr>
        <w:t>Charakterystyka i wnioski</w:t>
      </w:r>
    </w:p>
    <w:p w14:paraId="6EE551F0" w14:textId="6FACD2A7" w:rsidR="007D0568" w:rsidRPr="00211D94" w:rsidRDefault="007D0568" w:rsidP="00F55865">
      <w:pPr>
        <w:tabs>
          <w:tab w:val="left" w:pos="432"/>
        </w:tabs>
        <w:spacing w:before="120" w:after="120"/>
        <w:rPr>
          <w:rFonts w:cs="Arial"/>
          <w:szCs w:val="24"/>
        </w:rPr>
      </w:pPr>
      <w:r w:rsidRPr="00211D94">
        <w:rPr>
          <w:rFonts w:cs="Arial"/>
          <w:szCs w:val="24"/>
        </w:rPr>
        <w:t xml:space="preserve">W ramach OP1. </w:t>
      </w:r>
      <w:r w:rsidR="00753794" w:rsidRPr="00211D94">
        <w:rPr>
          <w:rFonts w:cs="Arial"/>
          <w:szCs w:val="24"/>
        </w:rPr>
        <w:t>„</w:t>
      </w:r>
      <w:r w:rsidRPr="00211D94">
        <w:rPr>
          <w:rFonts w:cs="Arial"/>
          <w:szCs w:val="24"/>
        </w:rPr>
        <w:t>Komercjalizacja wiedzy</w:t>
      </w:r>
      <w:r w:rsidR="00753794" w:rsidRPr="00211D94">
        <w:rPr>
          <w:rFonts w:cs="Arial"/>
          <w:szCs w:val="24"/>
        </w:rPr>
        <w:t>”</w:t>
      </w:r>
      <w:r w:rsidRPr="00211D94">
        <w:rPr>
          <w:rFonts w:cs="Arial"/>
          <w:i/>
          <w:szCs w:val="24"/>
        </w:rPr>
        <w:t xml:space="preserve"> </w:t>
      </w:r>
      <w:r w:rsidRPr="00211D94">
        <w:rPr>
          <w:rFonts w:cs="Arial"/>
          <w:szCs w:val="24"/>
        </w:rPr>
        <w:t xml:space="preserve">zawarto </w:t>
      </w:r>
      <w:r w:rsidR="004A63EC" w:rsidRPr="00211D94">
        <w:rPr>
          <w:rFonts w:cs="Arial"/>
          <w:b/>
          <w:szCs w:val="24"/>
        </w:rPr>
        <w:t>67</w:t>
      </w:r>
      <w:r w:rsidRPr="00211D94">
        <w:rPr>
          <w:rFonts w:cs="Arial"/>
          <w:b/>
          <w:szCs w:val="24"/>
        </w:rPr>
        <w:t xml:space="preserve"> </w:t>
      </w:r>
      <w:r w:rsidRPr="00211D94">
        <w:rPr>
          <w:rFonts w:cs="Arial"/>
          <w:szCs w:val="24"/>
        </w:rPr>
        <w:t xml:space="preserve">umów na kwotę </w:t>
      </w:r>
      <w:r w:rsidR="004A63EC" w:rsidRPr="00211D94">
        <w:rPr>
          <w:rFonts w:cs="Arial"/>
          <w:b/>
          <w:szCs w:val="24"/>
        </w:rPr>
        <w:t xml:space="preserve">136 375 678 </w:t>
      </w:r>
      <w:r w:rsidRPr="00211D94">
        <w:rPr>
          <w:rFonts w:cs="Arial"/>
          <w:b/>
          <w:szCs w:val="24"/>
        </w:rPr>
        <w:t>EUR</w:t>
      </w:r>
      <w:r w:rsidRPr="00211D94">
        <w:rPr>
          <w:rFonts w:cs="Arial"/>
          <w:szCs w:val="24"/>
        </w:rPr>
        <w:t xml:space="preserve">, w tym dofinansowanie UE </w:t>
      </w:r>
      <w:r w:rsidR="004A63EC" w:rsidRPr="00211D94">
        <w:rPr>
          <w:rFonts w:cs="Arial"/>
          <w:b/>
          <w:szCs w:val="24"/>
        </w:rPr>
        <w:t xml:space="preserve">82 017 423 </w:t>
      </w:r>
      <w:r w:rsidRPr="00211D94">
        <w:rPr>
          <w:rFonts w:cs="Arial"/>
          <w:b/>
          <w:szCs w:val="24"/>
        </w:rPr>
        <w:t>EUR</w:t>
      </w:r>
      <w:r w:rsidRPr="00211D94">
        <w:rPr>
          <w:rFonts w:cs="Arial"/>
          <w:szCs w:val="24"/>
        </w:rPr>
        <w:t xml:space="preserve">. Tym samym kontraktacja w tej Osi została osiągnięta na poziomie </w:t>
      </w:r>
      <w:r w:rsidR="004A63EC" w:rsidRPr="00211D94">
        <w:rPr>
          <w:rFonts w:cs="Arial"/>
          <w:b/>
          <w:szCs w:val="24"/>
        </w:rPr>
        <w:t>106,5</w:t>
      </w:r>
      <w:r w:rsidRPr="00211D94">
        <w:rPr>
          <w:rFonts w:cs="Arial"/>
          <w:b/>
          <w:szCs w:val="24"/>
        </w:rPr>
        <w:t>%</w:t>
      </w:r>
      <w:r w:rsidRPr="00211D94">
        <w:rPr>
          <w:rFonts w:cs="Arial"/>
          <w:szCs w:val="24"/>
        </w:rPr>
        <w:t xml:space="preserve"> alokacji przeznaczonej na realizację OP1. </w:t>
      </w:r>
    </w:p>
    <w:p w14:paraId="6E8563DD" w14:textId="207FCB5D" w:rsidR="007D0568" w:rsidRPr="00211D94" w:rsidRDefault="007D0568" w:rsidP="00F55865">
      <w:pPr>
        <w:tabs>
          <w:tab w:val="left" w:pos="432"/>
        </w:tabs>
        <w:spacing w:before="120" w:after="120"/>
        <w:rPr>
          <w:rFonts w:cs="Arial"/>
          <w:szCs w:val="24"/>
        </w:rPr>
      </w:pPr>
      <w:r w:rsidRPr="00211D94">
        <w:rPr>
          <w:rFonts w:cs="Arial"/>
          <w:szCs w:val="24"/>
        </w:rPr>
        <w:t xml:space="preserve">W ramach złożonych przez beneficjentów wniosków o płatność uznano za kwalifikowalne wydatki na kwotę </w:t>
      </w:r>
      <w:r w:rsidR="007308CC" w:rsidRPr="00211D94">
        <w:rPr>
          <w:rFonts w:cs="Arial"/>
          <w:b/>
          <w:szCs w:val="24"/>
        </w:rPr>
        <w:t xml:space="preserve">113 134 979 </w:t>
      </w:r>
      <w:r w:rsidRPr="00211D94">
        <w:rPr>
          <w:rFonts w:cs="Arial"/>
          <w:b/>
          <w:szCs w:val="24"/>
        </w:rPr>
        <w:t>EUR</w:t>
      </w:r>
      <w:r w:rsidRPr="00211D94">
        <w:rPr>
          <w:rFonts w:cs="Arial"/>
          <w:szCs w:val="24"/>
        </w:rPr>
        <w:t xml:space="preserve">, w tym </w:t>
      </w:r>
      <w:r w:rsidR="00ED62B8" w:rsidRPr="00211D94">
        <w:rPr>
          <w:rFonts w:cs="Arial"/>
          <w:b/>
          <w:szCs w:val="24"/>
        </w:rPr>
        <w:t xml:space="preserve">78 945 191 </w:t>
      </w:r>
      <w:r w:rsidRPr="00211D94">
        <w:rPr>
          <w:rFonts w:cs="Arial"/>
          <w:b/>
          <w:szCs w:val="24"/>
        </w:rPr>
        <w:t>EUR</w:t>
      </w:r>
      <w:r w:rsidRPr="00211D94">
        <w:rPr>
          <w:rFonts w:cs="Arial"/>
          <w:szCs w:val="24"/>
        </w:rPr>
        <w:t xml:space="preserve"> dofinansowania UE, co stanowi </w:t>
      </w:r>
      <w:r w:rsidR="00ED62B8" w:rsidRPr="00211D94">
        <w:rPr>
          <w:rFonts w:cs="Arial"/>
          <w:b/>
          <w:szCs w:val="24"/>
        </w:rPr>
        <w:t>102,5</w:t>
      </w:r>
      <w:r w:rsidRPr="00211D94">
        <w:rPr>
          <w:rFonts w:cs="Arial"/>
          <w:b/>
          <w:szCs w:val="24"/>
        </w:rPr>
        <w:t>%</w:t>
      </w:r>
      <w:r w:rsidRPr="00211D94">
        <w:rPr>
          <w:rFonts w:cs="Arial"/>
          <w:szCs w:val="24"/>
        </w:rPr>
        <w:t xml:space="preserve"> przeznaczonej na OP1 alokacji. </w:t>
      </w:r>
    </w:p>
    <w:p w14:paraId="6E5D4E3A" w14:textId="70009EF8" w:rsidR="007D0568" w:rsidRPr="00211D94" w:rsidRDefault="007D0568" w:rsidP="00F55865">
      <w:pPr>
        <w:spacing w:before="120" w:after="120"/>
        <w:rPr>
          <w:rFonts w:cs="Arial"/>
          <w:szCs w:val="24"/>
        </w:rPr>
      </w:pPr>
      <w:r w:rsidRPr="00211D94">
        <w:rPr>
          <w:rFonts w:cs="Arial"/>
          <w:szCs w:val="24"/>
        </w:rPr>
        <w:t xml:space="preserve">Dla OP1 określono w odniesieniu do </w:t>
      </w:r>
      <w:r w:rsidRPr="00211D94">
        <w:rPr>
          <w:rFonts w:cs="Arial"/>
          <w:b/>
          <w:szCs w:val="24"/>
        </w:rPr>
        <w:t>ram wykonania</w:t>
      </w:r>
      <w:r w:rsidRPr="00211D94">
        <w:rPr>
          <w:rFonts w:cs="Arial"/>
          <w:szCs w:val="24"/>
        </w:rPr>
        <w:t xml:space="preserve"> </w:t>
      </w:r>
      <w:r w:rsidR="00342137" w:rsidRPr="00211D94">
        <w:rPr>
          <w:rFonts w:cs="Arial"/>
          <w:szCs w:val="24"/>
        </w:rPr>
        <w:t>dwa</w:t>
      </w:r>
      <w:r w:rsidRPr="00211D94">
        <w:rPr>
          <w:rFonts w:cs="Arial"/>
          <w:szCs w:val="24"/>
        </w:rPr>
        <w:t xml:space="preserve"> wskaźniki:</w:t>
      </w:r>
    </w:p>
    <w:p w14:paraId="0C8F0002" w14:textId="4B2C97DD" w:rsidR="007D0568" w:rsidRPr="00211D94" w:rsidRDefault="00753794"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przedsiębiorstw otrzymujących wsparcie</w:t>
      </w:r>
      <w:r w:rsidRPr="00211D94">
        <w:rPr>
          <w:rFonts w:cs="Arial"/>
          <w:i/>
          <w:szCs w:val="24"/>
        </w:rPr>
        <w:t>”</w:t>
      </w:r>
      <w:r w:rsidR="007D0568" w:rsidRPr="00211D94">
        <w:rPr>
          <w:rFonts w:cs="Arial"/>
          <w:i/>
          <w:szCs w:val="24"/>
        </w:rPr>
        <w:t xml:space="preserve">, </w:t>
      </w:r>
      <w:r w:rsidR="007D0568" w:rsidRPr="00211D94">
        <w:rPr>
          <w:rFonts w:cs="Arial"/>
          <w:szCs w:val="24"/>
        </w:rPr>
        <w:t xml:space="preserve">dla którego osiągnięto wartość </w:t>
      </w:r>
      <w:r w:rsidR="00711391" w:rsidRPr="00211D94">
        <w:rPr>
          <w:rFonts w:cs="Arial"/>
          <w:szCs w:val="24"/>
        </w:rPr>
        <w:t>87</w:t>
      </w:r>
      <w:r w:rsidR="007D0568" w:rsidRPr="00211D94">
        <w:rPr>
          <w:rFonts w:cs="Arial"/>
          <w:szCs w:val="24"/>
        </w:rPr>
        <w:t xml:space="preserve"> przedsiębiorstw, co stanowi </w:t>
      </w:r>
      <w:r w:rsidR="003F4982" w:rsidRPr="00211D94">
        <w:rPr>
          <w:rFonts w:cs="Arial"/>
          <w:szCs w:val="24"/>
        </w:rPr>
        <w:t>93,5%</w:t>
      </w:r>
      <w:r w:rsidR="007D0568" w:rsidRPr="00211D94">
        <w:rPr>
          <w:rFonts w:cs="Arial"/>
          <w:szCs w:val="24"/>
        </w:rPr>
        <w:t xml:space="preserve"> celu końcowego (2023 r.).</w:t>
      </w:r>
      <w:r w:rsidR="009357E0" w:rsidRPr="00211D94">
        <w:rPr>
          <w:rFonts w:cs="Arial"/>
          <w:szCs w:val="24"/>
        </w:rPr>
        <w:t xml:space="preserve"> </w:t>
      </w:r>
      <w:r w:rsidR="00F66A2B" w:rsidRPr="00211D94">
        <w:rPr>
          <w:rFonts w:cs="Arial"/>
          <w:szCs w:val="24"/>
        </w:rPr>
        <w:t>Osiągnięty wynik jest nieco niższy od zakładanego celu, głównie z uwagi na niższą wartość wskaźnika dotyczącego l</w:t>
      </w:r>
      <w:r w:rsidR="009357E0" w:rsidRPr="00211D94">
        <w:rPr>
          <w:rFonts w:cs="Arial"/>
          <w:szCs w:val="24"/>
        </w:rPr>
        <w:t>icz</w:t>
      </w:r>
      <w:r w:rsidR="009F18D9" w:rsidRPr="00211D94">
        <w:rPr>
          <w:rFonts w:cs="Arial"/>
          <w:szCs w:val="24"/>
        </w:rPr>
        <w:t>b</w:t>
      </w:r>
      <w:r w:rsidR="00F66A2B" w:rsidRPr="00211D94">
        <w:rPr>
          <w:rFonts w:cs="Arial"/>
          <w:szCs w:val="24"/>
        </w:rPr>
        <w:t>y</w:t>
      </w:r>
      <w:r w:rsidR="009357E0" w:rsidRPr="00211D94">
        <w:rPr>
          <w:rFonts w:cs="Arial"/>
          <w:szCs w:val="24"/>
        </w:rPr>
        <w:t xml:space="preserve"> przedsiębiorstw otrzymujących wsparcie finansowe inne niż dotacje</w:t>
      </w:r>
      <w:r w:rsidR="009F18D9" w:rsidRPr="00211D94">
        <w:rPr>
          <w:rFonts w:cs="Arial"/>
          <w:szCs w:val="24"/>
        </w:rPr>
        <w:t xml:space="preserve"> </w:t>
      </w:r>
      <w:r w:rsidR="009357E0" w:rsidRPr="00211D94">
        <w:rPr>
          <w:rFonts w:cs="Arial"/>
          <w:szCs w:val="24"/>
        </w:rPr>
        <w:t>– 29 szt. (87,9% wartości docelowej).</w:t>
      </w:r>
    </w:p>
    <w:p w14:paraId="46932A00" w14:textId="3CE945A4" w:rsidR="00783935" w:rsidRPr="00211D94" w:rsidRDefault="007D0568" w:rsidP="008A1B39">
      <w:pPr>
        <w:pStyle w:val="Akapitzlist"/>
        <w:numPr>
          <w:ilvl w:val="0"/>
          <w:numId w:val="10"/>
        </w:numPr>
        <w:spacing w:before="120" w:after="120" w:line="276" w:lineRule="auto"/>
        <w:ind w:left="360"/>
        <w:contextualSpacing w:val="0"/>
        <w:rPr>
          <w:rFonts w:cs="Arial"/>
          <w:szCs w:val="24"/>
        </w:rPr>
      </w:pPr>
      <w:r w:rsidRPr="00211D94">
        <w:rPr>
          <w:rFonts w:cs="Arial"/>
          <w:szCs w:val="24"/>
        </w:rPr>
        <w:t>Całkowita kwota certyfikowanych wydatków kwalifikowalnych</w:t>
      </w:r>
      <w:r w:rsidRPr="00211D94">
        <w:rPr>
          <w:rFonts w:cs="Arial"/>
          <w:i/>
          <w:szCs w:val="24"/>
        </w:rPr>
        <w:t xml:space="preserve"> </w:t>
      </w:r>
      <w:r w:rsidRPr="00211D94">
        <w:rPr>
          <w:rFonts w:cs="Arial"/>
          <w:szCs w:val="24"/>
        </w:rPr>
        <w:t xml:space="preserve">– certyfikowano </w:t>
      </w:r>
      <w:r w:rsidR="003F4982" w:rsidRPr="00211D94">
        <w:rPr>
          <w:rFonts w:cs="Arial"/>
          <w:szCs w:val="24"/>
        </w:rPr>
        <w:t xml:space="preserve">107 382 261 </w:t>
      </w:r>
      <w:r w:rsidRPr="00211D94">
        <w:rPr>
          <w:rFonts w:cs="Arial"/>
          <w:szCs w:val="24"/>
        </w:rPr>
        <w:t xml:space="preserve">EUR </w:t>
      </w:r>
      <w:r w:rsidRPr="00211D94">
        <w:rPr>
          <w:rFonts w:cs="Arial"/>
          <w:i/>
          <w:szCs w:val="24"/>
        </w:rPr>
        <w:t xml:space="preserve">– </w:t>
      </w:r>
      <w:r w:rsidRPr="00211D94">
        <w:rPr>
          <w:rFonts w:cs="Arial"/>
          <w:szCs w:val="24"/>
        </w:rPr>
        <w:t xml:space="preserve">co powoduje, że cel końcowy (2023 r.) </w:t>
      </w:r>
      <w:r w:rsidR="00717AA8" w:rsidRPr="00211D94">
        <w:rPr>
          <w:rFonts w:cs="Arial"/>
          <w:szCs w:val="24"/>
        </w:rPr>
        <w:t xml:space="preserve">został osiągnięty </w:t>
      </w:r>
      <w:r w:rsidRPr="00211D94">
        <w:rPr>
          <w:rFonts w:cs="Arial"/>
          <w:szCs w:val="24"/>
        </w:rPr>
        <w:t xml:space="preserve">na poziomie </w:t>
      </w:r>
      <w:r w:rsidR="003F4982" w:rsidRPr="00211D94">
        <w:rPr>
          <w:rFonts w:cs="Arial"/>
          <w:szCs w:val="24"/>
        </w:rPr>
        <w:t>118,5</w:t>
      </w:r>
      <w:r w:rsidRPr="00211D94">
        <w:rPr>
          <w:rFonts w:cs="Arial"/>
          <w:szCs w:val="24"/>
        </w:rPr>
        <w:t xml:space="preserve">%. </w:t>
      </w:r>
      <w:r w:rsidR="00783935" w:rsidRPr="00211D94">
        <w:rPr>
          <w:rFonts w:cs="Arial"/>
          <w:szCs w:val="24"/>
        </w:rPr>
        <w:t>Wskaźnik finansowy obejmuje wydatki kwalifikowalne przekazane do KE.</w:t>
      </w:r>
    </w:p>
    <w:p w14:paraId="2E2B0C78" w14:textId="4A743942" w:rsidR="00716DA0" w:rsidRPr="00211D94" w:rsidRDefault="00BB5706" w:rsidP="008B3DAE">
      <w:pPr>
        <w:spacing w:before="120" w:after="120"/>
        <w:rPr>
          <w:rFonts w:cs="Arial"/>
          <w:szCs w:val="24"/>
        </w:rPr>
      </w:pPr>
      <w:r w:rsidRPr="00211D94">
        <w:rPr>
          <w:rFonts w:cs="Arial"/>
          <w:szCs w:val="24"/>
        </w:rPr>
        <w:t xml:space="preserve">W </w:t>
      </w:r>
      <w:r w:rsidR="00EA737C" w:rsidRPr="00211D94">
        <w:rPr>
          <w:rFonts w:cs="Arial"/>
          <w:szCs w:val="24"/>
        </w:rPr>
        <w:t>D</w:t>
      </w:r>
      <w:r w:rsidRPr="00211D94">
        <w:rPr>
          <w:rFonts w:cs="Arial"/>
          <w:szCs w:val="24"/>
        </w:rPr>
        <w:t xml:space="preserve">ziałaniu 1.1 </w:t>
      </w:r>
      <w:r w:rsidR="00753794" w:rsidRPr="00211D94">
        <w:rPr>
          <w:rFonts w:cs="Arial"/>
          <w:szCs w:val="24"/>
        </w:rPr>
        <w:t>„</w:t>
      </w:r>
      <w:r w:rsidRPr="00211D94">
        <w:rPr>
          <w:rFonts w:cs="Arial"/>
          <w:szCs w:val="24"/>
        </w:rPr>
        <w:t>Ekspansja przez innowacje</w:t>
      </w:r>
      <w:r w:rsidR="00753794" w:rsidRPr="00211D94">
        <w:rPr>
          <w:rFonts w:cs="Arial"/>
          <w:szCs w:val="24"/>
        </w:rPr>
        <w:t>”</w:t>
      </w:r>
      <w:r w:rsidRPr="00211D94">
        <w:rPr>
          <w:rFonts w:cs="Arial"/>
          <w:szCs w:val="24"/>
        </w:rPr>
        <w:t xml:space="preserve"> </w:t>
      </w:r>
      <w:r w:rsidR="00423635" w:rsidRPr="00211D94">
        <w:rPr>
          <w:rFonts w:cs="Arial"/>
          <w:szCs w:val="24"/>
        </w:rPr>
        <w:t xml:space="preserve">(PI 1b) </w:t>
      </w:r>
      <w:r w:rsidRPr="00211D94">
        <w:rPr>
          <w:rFonts w:cs="Arial"/>
          <w:szCs w:val="24"/>
        </w:rPr>
        <w:t>ogłoszono 6 naborów, w ramach których zrealizowano 63 projekty. Największą pulę stanowi</w:t>
      </w:r>
      <w:r w:rsidR="009D5551" w:rsidRPr="00211D94">
        <w:rPr>
          <w:rFonts w:cs="Arial"/>
          <w:szCs w:val="24"/>
        </w:rPr>
        <w:t xml:space="preserve">ły </w:t>
      </w:r>
      <w:r w:rsidRPr="00211D94">
        <w:rPr>
          <w:rFonts w:cs="Arial"/>
          <w:szCs w:val="24"/>
        </w:rPr>
        <w:t>projekty dotacyjne</w:t>
      </w:r>
      <w:r w:rsidR="00EA737C" w:rsidRPr="00211D94">
        <w:rPr>
          <w:rFonts w:cs="Arial"/>
        </w:rPr>
        <w:t xml:space="preserve"> </w:t>
      </w:r>
      <w:r w:rsidR="00EA737C" w:rsidRPr="00211D94">
        <w:rPr>
          <w:rFonts w:cs="Arial"/>
          <w:szCs w:val="24"/>
        </w:rPr>
        <w:t>wdrażane przez przedsiębiorstwa rozpoczynające i rozwijające działalność B+R i ukierunkowane wyłącznie na projekty mieszczące się w obszarach inteligentnych specjalizacji</w:t>
      </w:r>
      <w:r w:rsidRPr="00211D94">
        <w:rPr>
          <w:rFonts w:cs="Arial"/>
          <w:szCs w:val="24"/>
        </w:rPr>
        <w:t>.</w:t>
      </w:r>
      <w:r w:rsidR="00EA737C" w:rsidRPr="00211D94">
        <w:rPr>
          <w:rFonts w:cs="Arial"/>
          <w:szCs w:val="24"/>
        </w:rPr>
        <w:t xml:space="preserve"> W OP1 instrumenty finansowe realizowane były poprzez umowę o finansowani</w:t>
      </w:r>
      <w:r w:rsidR="009F18D9" w:rsidRPr="00211D94">
        <w:rPr>
          <w:rFonts w:cs="Arial"/>
          <w:szCs w:val="24"/>
        </w:rPr>
        <w:t>u</w:t>
      </w:r>
      <w:r w:rsidR="00EA737C" w:rsidRPr="00211D94">
        <w:rPr>
          <w:rFonts w:cs="Arial"/>
          <w:szCs w:val="24"/>
        </w:rPr>
        <w:t xml:space="preserve"> zawartą z podmiotem wdrażającym Fundusz Funduszy</w:t>
      </w:r>
      <w:r w:rsidR="00DC7672" w:rsidRPr="00211D94">
        <w:rPr>
          <w:rFonts w:cs="Arial"/>
          <w:szCs w:val="24"/>
        </w:rPr>
        <w:t xml:space="preserve"> -</w:t>
      </w:r>
      <w:r w:rsidR="00EA737C" w:rsidRPr="00211D94">
        <w:rPr>
          <w:rFonts w:cs="Arial"/>
          <w:szCs w:val="24"/>
        </w:rPr>
        <w:t xml:space="preserve"> </w:t>
      </w:r>
      <w:r w:rsidR="00DC7672" w:rsidRPr="00211D94">
        <w:rPr>
          <w:rFonts w:cs="Arial"/>
          <w:szCs w:val="24"/>
        </w:rPr>
        <w:t xml:space="preserve">Bankiem Gospodarstwa Krajowego </w:t>
      </w:r>
      <w:r w:rsidR="00EA737C" w:rsidRPr="00211D94">
        <w:rPr>
          <w:rFonts w:cs="Arial"/>
          <w:szCs w:val="24"/>
        </w:rPr>
        <w:t xml:space="preserve">w Poddziałaniu 1.1.2 </w:t>
      </w:r>
      <w:r w:rsidR="00753794" w:rsidRPr="00211D94">
        <w:rPr>
          <w:rFonts w:cs="Arial"/>
          <w:szCs w:val="24"/>
        </w:rPr>
        <w:t>„</w:t>
      </w:r>
      <w:r w:rsidR="00EA737C" w:rsidRPr="00211D94">
        <w:rPr>
          <w:rFonts w:cs="Arial"/>
          <w:szCs w:val="24"/>
        </w:rPr>
        <w:t xml:space="preserve">Ekspansja przez innowacje - wsparcie </w:t>
      </w:r>
      <w:proofErr w:type="spellStart"/>
      <w:r w:rsidR="00EA737C" w:rsidRPr="00211D94">
        <w:rPr>
          <w:rFonts w:cs="Arial"/>
          <w:szCs w:val="24"/>
        </w:rPr>
        <w:t>pozadotacyjne</w:t>
      </w:r>
      <w:proofErr w:type="spellEnd"/>
      <w:r w:rsidR="00753794" w:rsidRPr="00211D94">
        <w:rPr>
          <w:rFonts w:cs="Arial"/>
          <w:szCs w:val="24"/>
        </w:rPr>
        <w:t>”</w:t>
      </w:r>
      <w:r w:rsidR="00EA737C" w:rsidRPr="00211D94">
        <w:rPr>
          <w:rFonts w:cs="Arial"/>
          <w:szCs w:val="24"/>
        </w:rPr>
        <w:t xml:space="preserve"> (PI 1b) –</w:t>
      </w:r>
      <w:r w:rsidR="00DC7672" w:rsidRPr="00211D94">
        <w:rPr>
          <w:rFonts w:cs="Arial"/>
          <w:szCs w:val="24"/>
        </w:rPr>
        <w:t xml:space="preserve"> </w:t>
      </w:r>
      <w:r w:rsidR="00EA737C" w:rsidRPr="00211D94">
        <w:rPr>
          <w:rFonts w:cs="Arial"/>
          <w:szCs w:val="24"/>
        </w:rPr>
        <w:t>wspar</w:t>
      </w:r>
      <w:r w:rsidR="00DC7672" w:rsidRPr="00211D94">
        <w:rPr>
          <w:rFonts w:cs="Arial"/>
          <w:szCs w:val="24"/>
        </w:rPr>
        <w:t>cie w postaci pożyczek i wejść kapitałowych dla przedsiębiorstw na rozwój działalności B+R otrzymało</w:t>
      </w:r>
      <w:r w:rsidR="00EA737C" w:rsidRPr="00211D94">
        <w:rPr>
          <w:rFonts w:cs="Arial"/>
          <w:szCs w:val="24"/>
        </w:rPr>
        <w:t xml:space="preserve"> </w:t>
      </w:r>
      <w:r w:rsidR="009F18D9" w:rsidRPr="00211D94">
        <w:rPr>
          <w:rFonts w:cs="Arial"/>
          <w:szCs w:val="24"/>
        </w:rPr>
        <w:t>29</w:t>
      </w:r>
      <w:r w:rsidR="00EA737C" w:rsidRPr="00211D94">
        <w:rPr>
          <w:rFonts w:cs="Arial"/>
          <w:szCs w:val="24"/>
        </w:rPr>
        <w:t xml:space="preserve"> ostatecznych odbiorców. </w:t>
      </w:r>
    </w:p>
    <w:p w14:paraId="1D284A37" w14:textId="1FA077DC" w:rsidR="00BB5706" w:rsidRPr="00211D94" w:rsidRDefault="00EA737C" w:rsidP="00F55865">
      <w:pPr>
        <w:spacing w:before="120" w:after="120"/>
        <w:rPr>
          <w:rFonts w:cs="Arial"/>
          <w:szCs w:val="24"/>
        </w:rPr>
      </w:pPr>
      <w:r w:rsidRPr="00211D94">
        <w:rPr>
          <w:rFonts w:cs="Arial"/>
          <w:szCs w:val="24"/>
        </w:rPr>
        <w:t xml:space="preserve">Ponadto </w:t>
      </w:r>
      <w:r w:rsidR="00716DA0" w:rsidRPr="00211D94">
        <w:rPr>
          <w:rFonts w:cs="Arial"/>
          <w:szCs w:val="24"/>
        </w:rPr>
        <w:t>zrealizowany został projekt „</w:t>
      </w:r>
      <w:r w:rsidR="000E3195" w:rsidRPr="00211D94">
        <w:rPr>
          <w:rFonts w:cs="Arial"/>
          <w:szCs w:val="24"/>
        </w:rPr>
        <w:t>Smart Progress - Animacja rozwoju obszarów Inteligentnych Specjalizacji Pomorza jako element Procesu Przedsiębiorczego Odkrywania</w:t>
      </w:r>
      <w:r w:rsidR="00716DA0" w:rsidRPr="00211D94">
        <w:rPr>
          <w:rFonts w:cs="Arial"/>
          <w:szCs w:val="24"/>
        </w:rPr>
        <w:t xml:space="preserve">”, realizujący przedsięwzięcie strategiczne </w:t>
      </w:r>
      <w:r w:rsidR="00A41511" w:rsidRPr="00211D94">
        <w:rPr>
          <w:rFonts w:cs="Arial"/>
          <w:szCs w:val="24"/>
        </w:rPr>
        <w:t>określone w RPS dot</w:t>
      </w:r>
      <w:r w:rsidR="00753794" w:rsidRPr="00211D94">
        <w:rPr>
          <w:rFonts w:cs="Arial"/>
          <w:szCs w:val="24"/>
        </w:rPr>
        <w:t>y</w:t>
      </w:r>
      <w:r w:rsidR="00A41511" w:rsidRPr="00211D94">
        <w:rPr>
          <w:rFonts w:cs="Arial"/>
          <w:szCs w:val="24"/>
        </w:rPr>
        <w:t>czącym</w:t>
      </w:r>
      <w:r w:rsidR="00753794" w:rsidRPr="00211D94">
        <w:rPr>
          <w:rFonts w:cs="Arial"/>
          <w:szCs w:val="24"/>
        </w:rPr>
        <w:t xml:space="preserve"> </w:t>
      </w:r>
      <w:r w:rsidR="000E3195" w:rsidRPr="00211D94">
        <w:rPr>
          <w:rFonts w:cs="Arial"/>
          <w:szCs w:val="24"/>
        </w:rPr>
        <w:t xml:space="preserve">rozwoju gospodarczego. </w:t>
      </w:r>
      <w:r w:rsidR="00716DA0" w:rsidRPr="00211D94">
        <w:rPr>
          <w:rFonts w:cs="Arial"/>
          <w:szCs w:val="24"/>
        </w:rPr>
        <w:t xml:space="preserve">Objął on szerokie spektrum działań podejmowanych w obszarach ISP polegających m.in. </w:t>
      </w:r>
      <w:r w:rsidR="000E3195" w:rsidRPr="00211D94">
        <w:rPr>
          <w:rFonts w:cs="Arial"/>
          <w:szCs w:val="24"/>
        </w:rPr>
        <w:t xml:space="preserve">na odkrywaniu nowych specjalizacji, stymulowaniu współpracy pomiędzy partnerami, internacjonalizacji, wzmocnieniu kadr dla ISP, monitorowania ISP oraz budowaniu marki ISP na arenie międzynarodowej. </w:t>
      </w:r>
    </w:p>
    <w:p w14:paraId="555ED8F6" w14:textId="0D5B4267" w:rsidR="00EF014A" w:rsidRPr="00211D94" w:rsidRDefault="000E3195" w:rsidP="00F55865">
      <w:pPr>
        <w:spacing w:before="120" w:after="120"/>
        <w:rPr>
          <w:rFonts w:cs="Arial"/>
          <w:szCs w:val="24"/>
        </w:rPr>
      </w:pPr>
      <w:r w:rsidRPr="00211D94">
        <w:rPr>
          <w:rFonts w:cs="Arial"/>
          <w:szCs w:val="24"/>
        </w:rPr>
        <w:t>Dodatko</w:t>
      </w:r>
      <w:r w:rsidR="00EF014A" w:rsidRPr="00211D94">
        <w:rPr>
          <w:rFonts w:cs="Arial"/>
          <w:szCs w:val="24"/>
        </w:rPr>
        <w:t>wo w ramach wspierania zaawansowanych usług badawczych zrealizowano projekt w formule projektu grantowego, którego celem było tworzenie mechanizmu wsparcia zakupu usług B+R związanych z opracowaniem, rozwojem lub praktycznym zastosowaniem nowego lub ulepszonego produktu / technologii.</w:t>
      </w:r>
    </w:p>
    <w:p w14:paraId="360CC038" w14:textId="6DAB518A" w:rsidR="00005A8D" w:rsidRPr="00211D94" w:rsidRDefault="000E3195" w:rsidP="00F55865">
      <w:pPr>
        <w:spacing w:before="120" w:after="120"/>
        <w:rPr>
          <w:rFonts w:cs="Arial"/>
        </w:rPr>
      </w:pPr>
      <w:r w:rsidRPr="00211D94">
        <w:rPr>
          <w:rFonts w:cs="Arial"/>
          <w:szCs w:val="24"/>
        </w:rPr>
        <w:t>W ramach Działani</w:t>
      </w:r>
      <w:r w:rsidR="00EF014A" w:rsidRPr="00211D94">
        <w:rPr>
          <w:rFonts w:cs="Arial"/>
          <w:szCs w:val="24"/>
        </w:rPr>
        <w:t>a</w:t>
      </w:r>
      <w:r w:rsidRPr="00211D94">
        <w:rPr>
          <w:rFonts w:cs="Arial"/>
          <w:szCs w:val="24"/>
        </w:rPr>
        <w:t xml:space="preserve"> 1.2</w:t>
      </w:r>
      <w:r w:rsidR="006323F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Transfer wiedzy do gospodarki</w:t>
      </w:r>
      <w:r w:rsidR="00753794" w:rsidRPr="00211D94">
        <w:rPr>
          <w:rFonts w:cs="Arial"/>
          <w:szCs w:val="24"/>
        </w:rPr>
        <w:t>”</w:t>
      </w:r>
      <w:r w:rsidRPr="00211D94">
        <w:rPr>
          <w:rFonts w:cs="Arial"/>
          <w:szCs w:val="24"/>
        </w:rPr>
        <w:t xml:space="preserve"> (PI 1a)</w:t>
      </w:r>
      <w:r w:rsidR="00EF014A" w:rsidRPr="00211D94">
        <w:rPr>
          <w:rFonts w:cs="Arial"/>
          <w:szCs w:val="24"/>
        </w:rPr>
        <w:t xml:space="preserve"> </w:t>
      </w:r>
      <w:r w:rsidR="00005A8D" w:rsidRPr="00211D94">
        <w:rPr>
          <w:rFonts w:cs="Arial"/>
          <w:szCs w:val="24"/>
        </w:rPr>
        <w:t>zakres przedmiotowy wsparcia obejmował inwestycje w infrastrukturę badawczą sektora nauki. Dofinansowano realizację czterech projektów</w:t>
      </w:r>
      <w:r w:rsidR="00EF014A" w:rsidRPr="00211D94">
        <w:rPr>
          <w:rFonts w:cs="Arial"/>
          <w:szCs w:val="24"/>
        </w:rPr>
        <w:t>, których celem była poprawa efektywności oraz rozwój infrastruktury jednostek B+R w celu rozwijania ich współpracy z przedsiębiorstwami.</w:t>
      </w:r>
      <w:r w:rsidR="00E62C63" w:rsidRPr="00211D94">
        <w:rPr>
          <w:rFonts w:cs="Arial"/>
          <w:szCs w:val="24"/>
        </w:rPr>
        <w:t xml:space="preserve"> </w:t>
      </w:r>
      <w:r w:rsidR="00005A8D" w:rsidRPr="00211D94">
        <w:rPr>
          <w:rFonts w:cs="Arial"/>
          <w:szCs w:val="24"/>
        </w:rPr>
        <w:t>W</w:t>
      </w:r>
      <w:r w:rsidR="00005A8D" w:rsidRPr="00211D94">
        <w:rPr>
          <w:rFonts w:cs="Arial"/>
        </w:rPr>
        <w:t>ojewództwo pomorskie, dzięki dotacjom z PI 1a RPO WP wzbogac</w:t>
      </w:r>
      <w:r w:rsidR="00E62C63" w:rsidRPr="00211D94">
        <w:rPr>
          <w:rFonts w:cs="Arial"/>
        </w:rPr>
        <w:t>iło</w:t>
      </w:r>
      <w:r w:rsidR="00005A8D" w:rsidRPr="00211D94">
        <w:rPr>
          <w:rFonts w:cs="Arial"/>
        </w:rPr>
        <w:t xml:space="preserve"> się o: </w:t>
      </w:r>
    </w:p>
    <w:p w14:paraId="539D169F" w14:textId="6381229D" w:rsidR="00005A8D" w:rsidRPr="00211D94" w:rsidRDefault="00005A8D" w:rsidP="00F55865">
      <w:pPr>
        <w:pStyle w:val="Akapitzlist"/>
        <w:numPr>
          <w:ilvl w:val="0"/>
          <w:numId w:val="70"/>
        </w:numPr>
        <w:spacing w:before="120" w:after="120" w:line="276" w:lineRule="auto"/>
        <w:ind w:left="357" w:hanging="357"/>
        <w:contextualSpacing w:val="0"/>
        <w:rPr>
          <w:rFonts w:cs="Arial"/>
          <w:szCs w:val="24"/>
        </w:rPr>
      </w:pPr>
      <w:r w:rsidRPr="00211D94">
        <w:rPr>
          <w:rFonts w:cs="Arial"/>
          <w:szCs w:val="24"/>
        </w:rPr>
        <w:t xml:space="preserve">Innowacyjne Centrum zintegrowanych laboratoriów badawczych środowiska morskiego dla przemysłu </w:t>
      </w:r>
      <w:proofErr w:type="spellStart"/>
      <w:r w:rsidRPr="00211D94">
        <w:rPr>
          <w:rFonts w:cs="Arial"/>
          <w:szCs w:val="24"/>
        </w:rPr>
        <w:t>offshore</w:t>
      </w:r>
      <w:proofErr w:type="spellEnd"/>
      <w:r w:rsidRPr="00211D94">
        <w:rPr>
          <w:rFonts w:cs="Arial"/>
          <w:szCs w:val="24"/>
        </w:rPr>
        <w:t>. W Centrum są m.in. realizowane kompleksowe badania i pomiary na morzu w celu pozyskania nowej informacji o stanie środowiska morskiego i jego zasobach, niezbędnej w działalności na rynku paliw, budowy statków, morskiej energetyki wiatrowej czy transportu morskiego.</w:t>
      </w:r>
    </w:p>
    <w:p w14:paraId="4C79A5D5" w14:textId="112BC721" w:rsidR="00005A8D" w:rsidRPr="00211D94" w:rsidRDefault="00005A8D" w:rsidP="00F55865">
      <w:pPr>
        <w:pStyle w:val="Akapitzlist"/>
        <w:numPr>
          <w:ilvl w:val="0"/>
          <w:numId w:val="70"/>
        </w:numPr>
        <w:spacing w:before="120" w:after="120" w:line="276" w:lineRule="auto"/>
        <w:ind w:left="357" w:hanging="357"/>
        <w:contextualSpacing w:val="0"/>
        <w:rPr>
          <w:rFonts w:cs="Arial"/>
          <w:szCs w:val="24"/>
        </w:rPr>
      </w:pPr>
      <w:r w:rsidRPr="00211D94">
        <w:rPr>
          <w:rFonts w:cs="Arial"/>
          <w:szCs w:val="24"/>
        </w:rPr>
        <w:t>Centrum Kompetencji STOS w zakresie infrastruktury B+R – znajdujący się na terenie Politechniki Gdańskiej obiekt o powierzchni około 12 000 m</w:t>
      </w:r>
      <w:r w:rsidRPr="00211D94">
        <w:rPr>
          <w:rFonts w:cs="Arial"/>
          <w:szCs w:val="24"/>
          <w:vertAlign w:val="superscript"/>
        </w:rPr>
        <w:t>2</w:t>
      </w:r>
      <w:r w:rsidRPr="00211D94">
        <w:rPr>
          <w:rFonts w:cs="Arial"/>
          <w:szCs w:val="24"/>
        </w:rPr>
        <w:t xml:space="preserve"> został wyposażony w zaawansowaną infrastrukturę informatyczną (w tym </w:t>
      </w:r>
      <w:r w:rsidR="006323F7" w:rsidRPr="00211D94">
        <w:rPr>
          <w:rFonts w:cs="Arial"/>
          <w:szCs w:val="24"/>
        </w:rPr>
        <w:t xml:space="preserve">superkomputer oraz </w:t>
      </w:r>
      <w:r w:rsidRPr="00211D94">
        <w:rPr>
          <w:rFonts w:cs="Arial"/>
          <w:szCs w:val="24"/>
        </w:rPr>
        <w:t>serwerownię spełniającą najwyższe standardy bezpieczeństwa i niezawodności</w:t>
      </w:r>
      <w:r w:rsidR="00CD55DE" w:rsidRPr="00211D94">
        <w:rPr>
          <w:rFonts w:cs="Arial"/>
          <w:szCs w:val="24"/>
        </w:rPr>
        <w:t>).</w:t>
      </w:r>
    </w:p>
    <w:p w14:paraId="596980A5" w14:textId="2A2B2362" w:rsidR="00E62C63" w:rsidRPr="00211D94" w:rsidRDefault="00005A8D" w:rsidP="00F55865">
      <w:pPr>
        <w:pStyle w:val="Akapitzlist"/>
        <w:numPr>
          <w:ilvl w:val="0"/>
          <w:numId w:val="70"/>
        </w:numPr>
        <w:spacing w:before="120" w:after="120" w:line="276" w:lineRule="auto"/>
        <w:ind w:left="357" w:hanging="357"/>
        <w:contextualSpacing w:val="0"/>
        <w:rPr>
          <w:rFonts w:cs="Arial"/>
          <w:szCs w:val="24"/>
        </w:rPr>
      </w:pPr>
      <w:r w:rsidRPr="00211D94">
        <w:rPr>
          <w:rFonts w:cs="Arial"/>
          <w:szCs w:val="24"/>
        </w:rPr>
        <w:t xml:space="preserve">Centrum </w:t>
      </w:r>
      <w:proofErr w:type="spellStart"/>
      <w:r w:rsidRPr="00211D94">
        <w:rPr>
          <w:rFonts w:cs="Arial"/>
          <w:szCs w:val="24"/>
        </w:rPr>
        <w:t>Ekoinnowacji</w:t>
      </w:r>
      <w:proofErr w:type="spellEnd"/>
      <w:r w:rsidRPr="00211D94">
        <w:rPr>
          <w:rFonts w:cs="Arial"/>
          <w:szCs w:val="24"/>
        </w:rPr>
        <w:t xml:space="preserve"> Politechniki Gdańskiej – zostało </w:t>
      </w:r>
      <w:r w:rsidR="00A41511" w:rsidRPr="00211D94">
        <w:rPr>
          <w:rFonts w:cs="Arial"/>
          <w:szCs w:val="24"/>
        </w:rPr>
        <w:t>u</w:t>
      </w:r>
      <w:r w:rsidRPr="00211D94">
        <w:rPr>
          <w:rFonts w:cs="Arial"/>
          <w:szCs w:val="24"/>
        </w:rPr>
        <w:t xml:space="preserve">tworzone w oparciu o zasoby Wydziału Inżynierii Lądowej i Środowiska Politechniki Gdańskiej. Laboratoria zostały wyposażone w sprzęt pozwalający na realizację prac badawczych ukierunkowanych na rzecz rozwoju ekologicznej infrastruktury technicznej regionu i kraju, w tym rozwoju nowych energooszczędnych materiałów budowlanych, innowacyjnych rozwiązań w transporcie, gospodarce morskiej, wykorzystaniu materiałów odpadowych i z recyclingu w budownictwie oraz tworzeniu innowacyjnych zielonych technologii związanych z oczyszczeniem wód i ścieków. </w:t>
      </w:r>
    </w:p>
    <w:p w14:paraId="65E8B6CD" w14:textId="3DDA4B98" w:rsidR="00005A8D" w:rsidRPr="00211D94" w:rsidRDefault="00E62C63" w:rsidP="00F55865">
      <w:pPr>
        <w:pStyle w:val="Akapitzlist"/>
        <w:numPr>
          <w:ilvl w:val="0"/>
          <w:numId w:val="70"/>
        </w:numPr>
        <w:spacing w:before="120" w:after="120" w:line="276" w:lineRule="auto"/>
        <w:ind w:left="357" w:hanging="357"/>
        <w:contextualSpacing w:val="0"/>
        <w:rPr>
          <w:rFonts w:cs="Arial"/>
          <w:szCs w:val="24"/>
        </w:rPr>
      </w:pPr>
      <w:r w:rsidRPr="00211D94">
        <w:rPr>
          <w:rFonts w:cs="Arial"/>
          <w:szCs w:val="24"/>
        </w:rPr>
        <w:t>S</w:t>
      </w:r>
      <w:r w:rsidR="00005A8D" w:rsidRPr="00211D94">
        <w:rPr>
          <w:rFonts w:cs="Arial"/>
          <w:szCs w:val="24"/>
        </w:rPr>
        <w:t>tworzeni</w:t>
      </w:r>
      <w:r w:rsidRPr="00211D94">
        <w:rPr>
          <w:rFonts w:cs="Arial"/>
          <w:szCs w:val="24"/>
        </w:rPr>
        <w:t>e</w:t>
      </w:r>
      <w:r w:rsidR="00005A8D" w:rsidRPr="00211D94">
        <w:rPr>
          <w:rFonts w:cs="Arial"/>
          <w:szCs w:val="24"/>
        </w:rPr>
        <w:t xml:space="preserve"> nowego stanowiska badawczego (</w:t>
      </w:r>
      <w:r w:rsidRPr="00211D94">
        <w:rPr>
          <w:rFonts w:cs="Arial"/>
          <w:szCs w:val="24"/>
        </w:rPr>
        <w:t>projekt z</w:t>
      </w:r>
      <w:r w:rsidR="00005A8D" w:rsidRPr="00211D94">
        <w:rPr>
          <w:rFonts w:cs="Arial"/>
          <w:szCs w:val="24"/>
        </w:rPr>
        <w:t>realizowany przez Instytut Energetyki)</w:t>
      </w:r>
      <w:r w:rsidRPr="00211D94">
        <w:rPr>
          <w:rFonts w:cs="Arial"/>
          <w:szCs w:val="24"/>
        </w:rPr>
        <w:t xml:space="preserve"> - </w:t>
      </w:r>
      <w:r w:rsidR="00005A8D" w:rsidRPr="00211D94">
        <w:rPr>
          <w:rFonts w:cs="Arial"/>
          <w:szCs w:val="24"/>
        </w:rPr>
        <w:t xml:space="preserve">przedmiotem inwestycji był cyfrowy symulator czasu rzeczywistego pozwalający badać zjawiska elektromagnetyczne i elektromechaniczne zachodzące w systemie elektroenergetycznym poprzez ich symulację w czasie rzeczywistym. </w:t>
      </w:r>
    </w:p>
    <w:p w14:paraId="6292AEA1" w14:textId="2DC74D93" w:rsidR="009357E0" w:rsidRPr="00211D94" w:rsidRDefault="009357E0" w:rsidP="00F55865">
      <w:pPr>
        <w:spacing w:before="120" w:after="120"/>
        <w:rPr>
          <w:rFonts w:cs="Arial"/>
          <w:szCs w:val="24"/>
        </w:rPr>
      </w:pPr>
      <w:r w:rsidRPr="00211D94">
        <w:rPr>
          <w:rFonts w:cs="Arial"/>
          <w:szCs w:val="24"/>
        </w:rPr>
        <w:t xml:space="preserve">Poziom realizacji założonych celów </w:t>
      </w:r>
      <w:r w:rsidR="00477615" w:rsidRPr="00211D94">
        <w:rPr>
          <w:rFonts w:cs="Arial"/>
          <w:szCs w:val="24"/>
        </w:rPr>
        <w:t>dla OP1</w:t>
      </w:r>
      <w:r w:rsidR="00756D1A" w:rsidRPr="00211D94">
        <w:rPr>
          <w:rFonts w:cs="Arial"/>
          <w:szCs w:val="24"/>
        </w:rPr>
        <w:t xml:space="preserve"> (wskaźniki rzeczowe)</w:t>
      </w:r>
      <w:r w:rsidR="00477615" w:rsidRPr="00211D94">
        <w:rPr>
          <w:rFonts w:cs="Arial"/>
          <w:szCs w:val="24"/>
        </w:rPr>
        <w:t>:</w:t>
      </w:r>
    </w:p>
    <w:p w14:paraId="0036D643" w14:textId="00B1984D"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Liczba jednostek naukowych ponoszących nakłady inwestycyjne na działalność B+R – 4 szt. (100% wartości docelowej);</w:t>
      </w:r>
    </w:p>
    <w:p w14:paraId="52C677EB" w14:textId="7FFA3643"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Liczba naukowców pracujących w ulepszonych obiektach infrastruktury badawczej (CI 25) – 13,4 EPC (83,8%</w:t>
      </w:r>
      <w:r w:rsidR="00717AA8" w:rsidRPr="00211D94">
        <w:rPr>
          <w:rFonts w:cs="Arial"/>
          <w:szCs w:val="24"/>
        </w:rPr>
        <w:t xml:space="preserve"> wartości docelowej);</w:t>
      </w:r>
    </w:p>
    <w:p w14:paraId="22F35953" w14:textId="5C297B6F"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Inwestycje prywatne uzupełniające wsparcie publiczne w projekty w zakresie innowacji lub B+R (CI 27) - 16 997 665,45 EUR (143%</w:t>
      </w:r>
      <w:r w:rsidR="00717AA8" w:rsidRPr="00211D94">
        <w:rPr>
          <w:rFonts w:cs="Arial"/>
          <w:szCs w:val="24"/>
        </w:rPr>
        <w:t xml:space="preserve"> wartości docelowej);</w:t>
      </w:r>
    </w:p>
    <w:p w14:paraId="6CB69D0A" w14:textId="174C9387"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Liczba przedsiębiorstw otrzymujących wsparcie (CI 1) – 87 szt. (93,5%</w:t>
      </w:r>
      <w:r w:rsidR="00717AA8" w:rsidRPr="00211D94">
        <w:rPr>
          <w:rFonts w:cs="Arial"/>
          <w:szCs w:val="24"/>
        </w:rPr>
        <w:t xml:space="preserve"> wartości docelowej);</w:t>
      </w:r>
    </w:p>
    <w:p w14:paraId="34B38B4F" w14:textId="5A1A4099"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Liczba przedsiębiorstw otrzymujących dotacje (CI 2) – 63 szt. (105%</w:t>
      </w:r>
      <w:r w:rsidR="00717AA8" w:rsidRPr="00211D94">
        <w:rPr>
          <w:rFonts w:cs="Arial"/>
          <w:szCs w:val="24"/>
        </w:rPr>
        <w:t xml:space="preserve"> wartości docelowej);</w:t>
      </w:r>
    </w:p>
    <w:p w14:paraId="66F42725" w14:textId="0D20DB7F" w:rsidR="005254A6"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 xml:space="preserve">Liczba przedsiębiorstw otrzymujących wsparcie finansowe inne niż dotacje (CI 3) </w:t>
      </w:r>
      <w:r w:rsidR="00717AA8" w:rsidRPr="00211D94">
        <w:rPr>
          <w:rFonts w:cs="Arial"/>
          <w:szCs w:val="24"/>
        </w:rPr>
        <w:t>–</w:t>
      </w:r>
      <w:r w:rsidRPr="00211D94">
        <w:rPr>
          <w:rFonts w:cs="Arial"/>
          <w:szCs w:val="24"/>
        </w:rPr>
        <w:t xml:space="preserve"> </w:t>
      </w:r>
      <w:r w:rsidR="00717AA8" w:rsidRPr="00211D94">
        <w:rPr>
          <w:rFonts w:cs="Arial"/>
          <w:szCs w:val="24"/>
        </w:rPr>
        <w:t>29 szt. (87,9% wartości docelowej)</w:t>
      </w:r>
      <w:r w:rsidR="009357E0" w:rsidRPr="00211D94">
        <w:rPr>
          <w:rFonts w:cs="Arial"/>
          <w:szCs w:val="24"/>
        </w:rPr>
        <w:t>. Wartość ta jest niższa od docelowej z uwagi na zmniejszenie w trakcie wdrażania Programu alokacji na instrumenty finansowe. Alokacja została dostosowana do rzeczywistego popytu ze strony przedsiębiorców na oferowane przez pośredników finansowych produkty finansowe (pożyczka na innowacje i wejście kapitałowe)</w:t>
      </w:r>
      <w:r w:rsidR="009F18D9" w:rsidRPr="00211D94">
        <w:rPr>
          <w:rFonts w:cs="Arial"/>
          <w:szCs w:val="24"/>
        </w:rPr>
        <w:t>;</w:t>
      </w:r>
    </w:p>
    <w:p w14:paraId="725735F8" w14:textId="4091582D" w:rsidR="006251B8" w:rsidRPr="00211D94" w:rsidRDefault="005254A6" w:rsidP="00F55865">
      <w:pPr>
        <w:pStyle w:val="Akapitzlist"/>
        <w:numPr>
          <w:ilvl w:val="0"/>
          <w:numId w:val="53"/>
        </w:numPr>
        <w:spacing w:before="120" w:after="120" w:line="276" w:lineRule="auto"/>
        <w:rPr>
          <w:rFonts w:cs="Arial"/>
          <w:szCs w:val="24"/>
        </w:rPr>
      </w:pPr>
      <w:r w:rsidRPr="00211D94">
        <w:rPr>
          <w:rFonts w:cs="Arial"/>
          <w:szCs w:val="24"/>
        </w:rPr>
        <w:t>Inwestycje prywatne uzupełniające wsparcie publiczne dla przedsiębiorstw (dotacje) (CI 6)</w:t>
      </w:r>
      <w:r w:rsidR="00717AA8" w:rsidRPr="00211D94">
        <w:rPr>
          <w:rFonts w:cs="Arial"/>
          <w:szCs w:val="24"/>
        </w:rPr>
        <w:t xml:space="preserve"> - 16 997 665,45 EUR (103,1% wartości docelowej)</w:t>
      </w:r>
      <w:r w:rsidR="009F18D9" w:rsidRPr="00211D94">
        <w:rPr>
          <w:rFonts w:cs="Arial"/>
          <w:szCs w:val="24"/>
        </w:rPr>
        <w:t>.</w:t>
      </w:r>
    </w:p>
    <w:p w14:paraId="774BC0BA" w14:textId="1478080F" w:rsidR="00005A8D" w:rsidRPr="00211D94" w:rsidRDefault="00005A8D" w:rsidP="00F55865">
      <w:pPr>
        <w:spacing w:before="120" w:after="120"/>
        <w:rPr>
          <w:rFonts w:cs="Arial"/>
          <w:szCs w:val="24"/>
        </w:rPr>
      </w:pPr>
      <w:r w:rsidRPr="00211D94">
        <w:rPr>
          <w:rFonts w:cs="Arial"/>
          <w:szCs w:val="24"/>
        </w:rPr>
        <w:t xml:space="preserve">Biorąc powyższe pod uwagę można stwierdzić, że wsparcie udzielone z PI 1b było skuteczne, tj. przyczyniło się do zwiększonej aktywności badawczo-rozwojowej przedsiębiorstw. Efekt ten należy przypisywać każdemu z instrumentów, z których mogły skorzystać podmioty gospodarcze, tj. dotacji, pożyczkom na innowacje, wejściom kapitałowym oraz grantom. Pierwsze </w:t>
      </w:r>
      <w:r w:rsidR="00753794" w:rsidRPr="00211D94">
        <w:rPr>
          <w:rFonts w:cs="Arial"/>
          <w:szCs w:val="24"/>
        </w:rPr>
        <w:t>trzy</w:t>
      </w:r>
      <w:r w:rsidRPr="00211D94">
        <w:rPr>
          <w:rFonts w:cs="Arial"/>
          <w:szCs w:val="24"/>
        </w:rPr>
        <w:t xml:space="preserve"> stymulowały przede wszystkim aktywność na polu realizacji przedsięwzięć badawczych, a ostatni korzystanie z usług badawczych zewnętrznych podmiotów. W tym kontekście za podstawowy atut oferty, jaką województwo udostępniło w ramach </w:t>
      </w:r>
      <w:r w:rsidR="00756D1A" w:rsidRPr="00211D94">
        <w:rPr>
          <w:rFonts w:cs="Arial"/>
          <w:szCs w:val="24"/>
        </w:rPr>
        <w:t>PI</w:t>
      </w:r>
      <w:r w:rsidRPr="00211D94">
        <w:rPr>
          <w:rFonts w:cs="Arial"/>
          <w:szCs w:val="24"/>
        </w:rPr>
        <w:t xml:space="preserve"> 1b, należy uznać uruchomienie szerokiego wachlarza instrumentów wsparcia, pozwalającego na zaadresowanie różnych wyzwań związanych ze stymulowaniem działalności firm w obszarze badań i rozwoju.</w:t>
      </w:r>
    </w:p>
    <w:p w14:paraId="05DC420F" w14:textId="65FA7F91" w:rsidR="007D4FD9" w:rsidRPr="00211D94" w:rsidRDefault="007D4FD9" w:rsidP="00F55865">
      <w:pPr>
        <w:spacing w:before="120" w:after="120"/>
        <w:rPr>
          <w:rFonts w:cs="Arial"/>
          <w:szCs w:val="24"/>
        </w:rPr>
      </w:pPr>
      <w:r w:rsidRPr="00211D94">
        <w:rPr>
          <w:rFonts w:cs="Arial"/>
          <w:szCs w:val="24"/>
        </w:rPr>
        <w:t>Dodatkowo należy podkreślić, że wsparcie w ramach Działania 1.2 (PI 1a) trafiło do jednostek naukowych, które posiadają duże doświadczenia w zakresie świadczenia usług badawczych, co z pewnością będzie sprzyjało efektywnemu wykorzystaniu dofinansowanej infrastruktury.</w:t>
      </w:r>
    </w:p>
    <w:p w14:paraId="68D265A1" w14:textId="5783024C" w:rsidR="00756D1A" w:rsidRPr="00211D94" w:rsidRDefault="00756D1A" w:rsidP="00F55865">
      <w:pPr>
        <w:tabs>
          <w:tab w:val="left" w:pos="432"/>
        </w:tabs>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OP1 RPO WP Instytucja Zarządzająca dysponuje danymi za rok 2023 (oraz częściowo za 2022 r.). Osiągnięte wartości wskaźników przedstawiają się następująco:</w:t>
      </w:r>
    </w:p>
    <w:p w14:paraId="6A91AE79" w14:textId="77777777" w:rsidR="00756D1A" w:rsidRPr="00211D94" w:rsidRDefault="00756D1A" w:rsidP="00F55865">
      <w:pPr>
        <w:pStyle w:val="Akapitzlist"/>
        <w:numPr>
          <w:ilvl w:val="0"/>
          <w:numId w:val="48"/>
        </w:numPr>
        <w:tabs>
          <w:tab w:val="left" w:pos="432"/>
        </w:tabs>
        <w:spacing w:before="120" w:after="120" w:line="276" w:lineRule="auto"/>
        <w:rPr>
          <w:rFonts w:cs="Arial"/>
          <w:szCs w:val="24"/>
        </w:rPr>
      </w:pPr>
      <w:r w:rsidRPr="00211D94">
        <w:rPr>
          <w:rFonts w:cs="Arial"/>
          <w:szCs w:val="24"/>
        </w:rPr>
        <w:t>Nakłady na działalność badawczo-rozwojową (B+R) w relacji do PKB wyniosły 2,3%, przy wartości docelowej 1,3%.</w:t>
      </w:r>
    </w:p>
    <w:p w14:paraId="71DF41C1" w14:textId="77777777" w:rsidR="00756D1A" w:rsidRPr="00211D94" w:rsidRDefault="00756D1A" w:rsidP="00F55865">
      <w:pPr>
        <w:pStyle w:val="Akapitzlist"/>
        <w:numPr>
          <w:ilvl w:val="0"/>
          <w:numId w:val="48"/>
        </w:numPr>
        <w:tabs>
          <w:tab w:val="left" w:pos="432"/>
        </w:tabs>
        <w:spacing w:before="120" w:after="120" w:line="276" w:lineRule="auto"/>
        <w:rPr>
          <w:rFonts w:cs="Arial"/>
          <w:szCs w:val="24"/>
        </w:rPr>
      </w:pPr>
      <w:r w:rsidRPr="00211D94">
        <w:rPr>
          <w:rFonts w:cs="Arial"/>
          <w:szCs w:val="24"/>
        </w:rPr>
        <w:t>Nakłady sektora przedsiębiorstw na działalność B+R w relacji do PKB osiągnęły 1,7%, wobec wartości docelowej 0,4%.</w:t>
      </w:r>
    </w:p>
    <w:p w14:paraId="1CEA753D" w14:textId="77777777" w:rsidR="00756D1A" w:rsidRPr="00211D94" w:rsidRDefault="00756D1A" w:rsidP="00F55865">
      <w:pPr>
        <w:pStyle w:val="Akapitzlist"/>
        <w:numPr>
          <w:ilvl w:val="0"/>
          <w:numId w:val="48"/>
        </w:numPr>
        <w:tabs>
          <w:tab w:val="left" w:pos="432"/>
        </w:tabs>
        <w:spacing w:before="120" w:after="120" w:line="276" w:lineRule="auto"/>
        <w:rPr>
          <w:rFonts w:cs="Arial"/>
          <w:szCs w:val="24"/>
        </w:rPr>
      </w:pPr>
      <w:r w:rsidRPr="00211D94">
        <w:rPr>
          <w:rFonts w:cs="Arial"/>
          <w:szCs w:val="24"/>
        </w:rPr>
        <w:t>Odsetek przedsiębiorstw przemysłowych współpracujących w zakresie działalności innowacyjnej wyniósł 9,5% (dane za 2022 r.), przy wartości docelowej 6,0%.</w:t>
      </w:r>
    </w:p>
    <w:p w14:paraId="48162FA5" w14:textId="575F9EEF" w:rsidR="00756D1A" w:rsidRPr="00211D94" w:rsidRDefault="00756D1A" w:rsidP="00F55865">
      <w:pPr>
        <w:tabs>
          <w:tab w:val="left" w:pos="432"/>
        </w:tabs>
        <w:spacing w:before="120" w:after="120"/>
        <w:rPr>
          <w:rFonts w:cs="Arial"/>
          <w:szCs w:val="24"/>
        </w:rPr>
      </w:pPr>
      <w:r w:rsidRPr="00211D94">
        <w:rPr>
          <w:rFonts w:cs="Arial"/>
          <w:szCs w:val="24"/>
        </w:rPr>
        <w:t>Wszystkie analizowane wskaźniki rezultatu dla OP1 znacząco przekroczyły wartości docelowe, co potwierdza skuteczność działań ukierunkowanych na rozwój badań, innowacji i współpracy nauki z biznesem w regionie. Wysoki poziom nakładów B+R w sektorze przedsiębiorstw wskazuje na trwałe zmiany w strukturze gospodarki regionu, sprzyjające innowacyjności i transformacji technologicznej. Utrzymujący się wzrost współpracy w zakresie działalności innowacyjnej potwierdza dojrzewanie ekosystemu innowacji i coraz lepsze powiązania między sferą nauki, biznesu i administracji.</w:t>
      </w:r>
    </w:p>
    <w:p w14:paraId="406B93AA" w14:textId="57FBF81F" w:rsidR="007D0568" w:rsidRPr="00211D94" w:rsidRDefault="00756D1A" w:rsidP="006323F7">
      <w:pPr>
        <w:tabs>
          <w:tab w:val="left" w:pos="432"/>
        </w:tabs>
        <w:spacing w:before="120" w:after="120"/>
        <w:rPr>
          <w:rFonts w:cs="Arial"/>
          <w:szCs w:val="24"/>
        </w:rPr>
      </w:pPr>
      <w:r w:rsidRPr="00211D94">
        <w:rPr>
          <w:rFonts w:cs="Arial"/>
          <w:szCs w:val="24"/>
        </w:rPr>
        <w:t>Ogólnie poziom realizacji celów rezultatu dla OP1 można ocenić jako bardzo wysoki. Pomorze skutecznie wykorzystuje potencjał badawczo-rozwojowy, a wyniki wskaźników wyraźnie przewyższają zakładane wartości, mimo niekorzystnych warunków globalnych, obejmujących zarówno pandemię COVID-19, jak i agresję Rosji na Ukrainę.</w:t>
      </w:r>
    </w:p>
    <w:p w14:paraId="0E5B54B5" w14:textId="77777777" w:rsidR="007D0568" w:rsidRPr="00211D94" w:rsidRDefault="007D0568" w:rsidP="00F55865">
      <w:pPr>
        <w:pStyle w:val="Nagwek2"/>
        <w:spacing w:before="120" w:after="120"/>
        <w:rPr>
          <w:rFonts w:cs="Arial"/>
          <w:color w:val="FFFFFF" w:themeColor="background1"/>
          <w:sz w:val="24"/>
          <w:szCs w:val="24"/>
          <w:lang w:eastAsia="pl-PL"/>
        </w:rPr>
      </w:pPr>
      <w:bookmarkStart w:id="126" w:name="_Toc484443222"/>
      <w:bookmarkStart w:id="127" w:name="_Toc9418239"/>
      <w:bookmarkStart w:id="128" w:name="_Toc214025282"/>
      <w:r w:rsidRPr="00211D94">
        <w:rPr>
          <w:rFonts w:cs="Arial"/>
          <w:color w:val="FFFFFF" w:themeColor="background1"/>
          <w:sz w:val="24"/>
          <w:szCs w:val="24"/>
          <w:lang w:eastAsia="pl-PL"/>
        </w:rPr>
        <w:t>OP2. PRZEDSIĘBIORSTWA</w:t>
      </w:r>
      <w:bookmarkEnd w:id="126"/>
      <w:bookmarkEnd w:id="127"/>
      <w:bookmarkEnd w:id="128"/>
    </w:p>
    <w:tbl>
      <w:tblPr>
        <w:tblW w:w="0" w:type="auto"/>
        <w:tblLook w:val="04A0" w:firstRow="1" w:lastRow="0" w:firstColumn="1" w:lastColumn="0" w:noHBand="0" w:noVBand="1"/>
      </w:tblPr>
      <w:tblGrid>
        <w:gridCol w:w="1446"/>
        <w:gridCol w:w="7626"/>
      </w:tblGrid>
      <w:tr w:rsidR="007D0568" w:rsidRPr="00211D94" w14:paraId="1A438EAA" w14:textId="77777777" w:rsidTr="005022DB">
        <w:trPr>
          <w:trHeight w:val="1167"/>
        </w:trPr>
        <w:tc>
          <w:tcPr>
            <w:tcW w:w="1446" w:type="dxa"/>
            <w:shd w:val="clear" w:color="auto" w:fill="auto"/>
          </w:tcPr>
          <w:p w14:paraId="60CD6AC9" w14:textId="71137C18"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29434CCF" wp14:editId="2A1973E6">
                  <wp:extent cx="772160" cy="712470"/>
                  <wp:effectExtent l="0" t="0" r="8890" b="0"/>
                  <wp:docPr id="27" name="Obraz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160" cy="712470"/>
                          </a:xfrm>
                          <a:prstGeom prst="rect">
                            <a:avLst/>
                          </a:prstGeom>
                          <a:noFill/>
                          <a:ln>
                            <a:noFill/>
                          </a:ln>
                        </pic:spPr>
                      </pic:pic>
                    </a:graphicData>
                  </a:graphic>
                </wp:inline>
              </w:drawing>
            </w:r>
          </w:p>
        </w:tc>
        <w:tc>
          <w:tcPr>
            <w:tcW w:w="7626" w:type="dxa"/>
            <w:shd w:val="clear" w:color="auto" w:fill="auto"/>
          </w:tcPr>
          <w:p w14:paraId="4386825A" w14:textId="55CFA9BC" w:rsidR="007D0568" w:rsidRPr="00211D94" w:rsidRDefault="007D0568" w:rsidP="00F55865">
            <w:pPr>
              <w:spacing w:before="120" w:after="120"/>
              <w:rPr>
                <w:rFonts w:cs="Arial"/>
                <w:b/>
                <w:szCs w:val="24"/>
              </w:rPr>
            </w:pPr>
            <w:r w:rsidRPr="00211D94">
              <w:rPr>
                <w:rFonts w:cs="Arial"/>
                <w:szCs w:val="24"/>
              </w:rPr>
              <w:t>OP2 odpowiada</w:t>
            </w:r>
            <w:r w:rsidR="009F18D9" w:rsidRPr="00211D94">
              <w:rPr>
                <w:rFonts w:cs="Arial"/>
                <w:szCs w:val="24"/>
              </w:rPr>
              <w:t>ła</w:t>
            </w:r>
            <w:r w:rsidRPr="00211D94">
              <w:rPr>
                <w:rFonts w:cs="Arial"/>
                <w:szCs w:val="24"/>
              </w:rPr>
              <w:t xml:space="preserve"> na wyzwania dotyczące dostarczenia kapitału dla rozwoju przedsiębiorstw, głównie małych i średnich, wzmocnienia proeksportowo ukierunkowanych firm i klastrów gospodarczych, poprawy jakości oferty inwestycyjnej i systemu zachęt do inwestowania w regionie poprzez inwestycje ukierunkowane w szczególności na wsparcie inwestycyjne sektora MŚP, w tym inwestycji sprofilowanych na inteligentne specjalizacje regionu i </w:t>
            </w:r>
            <w:proofErr w:type="spellStart"/>
            <w:r w:rsidR="009F18D9" w:rsidRPr="00211D94">
              <w:rPr>
                <w:rFonts w:cs="Arial"/>
                <w:szCs w:val="24"/>
              </w:rPr>
              <w:t>e</w:t>
            </w:r>
            <w:r w:rsidRPr="00211D94">
              <w:rPr>
                <w:rFonts w:cs="Arial"/>
                <w:szCs w:val="24"/>
              </w:rPr>
              <w:t>koefektywność</w:t>
            </w:r>
            <w:proofErr w:type="spellEnd"/>
            <w:r w:rsidRPr="00211D94">
              <w:rPr>
                <w:rFonts w:cs="Arial"/>
                <w:szCs w:val="24"/>
              </w:rPr>
              <w:t>, wzmocnienie aktywności eksportowej przedsiębiorstw, otoczenie biznesu oraz wsparcie inwestycji zewnętrznych.</w:t>
            </w:r>
          </w:p>
        </w:tc>
      </w:tr>
    </w:tbl>
    <w:p w14:paraId="05B8544E"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1FD7CAC0" w14:textId="3A987FF2" w:rsidR="00392344" w:rsidRPr="00211D94" w:rsidRDefault="00E868BB" w:rsidP="00F55865">
      <w:pPr>
        <w:tabs>
          <w:tab w:val="left" w:pos="432"/>
        </w:tabs>
        <w:spacing w:before="120" w:after="120"/>
        <w:rPr>
          <w:rFonts w:cs="Arial"/>
          <w:szCs w:val="24"/>
        </w:rPr>
      </w:pPr>
      <w:r w:rsidRPr="00211D94">
        <w:rPr>
          <w:rFonts w:cs="Arial"/>
          <w:szCs w:val="24"/>
        </w:rPr>
        <w:t xml:space="preserve">W ramach OP2. </w:t>
      </w:r>
      <w:r w:rsidR="00753794" w:rsidRPr="00211D94">
        <w:rPr>
          <w:rFonts w:cs="Arial"/>
          <w:szCs w:val="24"/>
        </w:rPr>
        <w:t>„</w:t>
      </w:r>
      <w:r w:rsidRPr="00211D94">
        <w:rPr>
          <w:rFonts w:cs="Arial"/>
          <w:szCs w:val="24"/>
        </w:rPr>
        <w:t>Przedsiębiorstwa</w:t>
      </w:r>
      <w:r w:rsidR="00753794" w:rsidRPr="00211D94">
        <w:rPr>
          <w:rFonts w:cs="Arial"/>
          <w:szCs w:val="24"/>
        </w:rPr>
        <w:t>”</w:t>
      </w:r>
      <w:r w:rsidRPr="00211D94">
        <w:rPr>
          <w:rFonts w:cs="Arial"/>
          <w:szCs w:val="24"/>
        </w:rPr>
        <w:t xml:space="preserve"> zawarto </w:t>
      </w:r>
      <w:r w:rsidRPr="00211D94">
        <w:rPr>
          <w:rFonts w:cs="Arial"/>
          <w:b/>
          <w:szCs w:val="24"/>
        </w:rPr>
        <w:t>511</w:t>
      </w:r>
      <w:r w:rsidRPr="00211D94">
        <w:rPr>
          <w:rFonts w:cs="Arial"/>
          <w:szCs w:val="24"/>
        </w:rPr>
        <w:t xml:space="preserve"> umów o łącznej wartości </w:t>
      </w:r>
      <w:r w:rsidRPr="00211D94">
        <w:rPr>
          <w:rFonts w:cs="Arial"/>
          <w:b/>
          <w:szCs w:val="24"/>
        </w:rPr>
        <w:t>263 963 497 EUR</w:t>
      </w:r>
      <w:r w:rsidRPr="00211D94">
        <w:rPr>
          <w:rFonts w:cs="Arial"/>
          <w:szCs w:val="24"/>
        </w:rPr>
        <w:t xml:space="preserve">, w tym </w:t>
      </w:r>
      <w:r w:rsidRPr="00211D94">
        <w:rPr>
          <w:rFonts w:cs="Arial"/>
          <w:b/>
          <w:szCs w:val="24"/>
        </w:rPr>
        <w:t>164 798 335 EUR</w:t>
      </w:r>
      <w:r w:rsidRPr="00211D94">
        <w:rPr>
          <w:rFonts w:cs="Arial"/>
          <w:szCs w:val="24"/>
        </w:rPr>
        <w:t xml:space="preserve"> dofinansowania UE. Poziom kontraktacji osiągnął </w:t>
      </w:r>
      <w:r w:rsidRPr="00211D94">
        <w:rPr>
          <w:rFonts w:cs="Arial"/>
          <w:b/>
          <w:szCs w:val="24"/>
        </w:rPr>
        <w:t>103,4%</w:t>
      </w:r>
      <w:r w:rsidRPr="00211D94">
        <w:rPr>
          <w:rFonts w:cs="Arial"/>
          <w:szCs w:val="24"/>
        </w:rPr>
        <w:t xml:space="preserve"> alokacji przeznaczonej na realizację osi. Uznane za kwalifikowalne wydatki wyniosły </w:t>
      </w:r>
      <w:r w:rsidRPr="00211D94">
        <w:rPr>
          <w:rFonts w:cs="Arial"/>
          <w:b/>
          <w:szCs w:val="24"/>
        </w:rPr>
        <w:t>230 109 438 EUR</w:t>
      </w:r>
      <w:r w:rsidRPr="00211D94">
        <w:rPr>
          <w:rFonts w:cs="Arial"/>
          <w:szCs w:val="24"/>
        </w:rPr>
        <w:t xml:space="preserve"> (w tym </w:t>
      </w:r>
      <w:r w:rsidRPr="00211D94">
        <w:rPr>
          <w:rFonts w:cs="Arial"/>
          <w:b/>
          <w:szCs w:val="24"/>
        </w:rPr>
        <w:t>162 374 884 EUR</w:t>
      </w:r>
      <w:r w:rsidRPr="00211D94">
        <w:rPr>
          <w:rFonts w:cs="Arial"/>
          <w:szCs w:val="24"/>
        </w:rPr>
        <w:t xml:space="preserve"> z UE), co stanowi </w:t>
      </w:r>
      <w:r w:rsidRPr="00211D94">
        <w:rPr>
          <w:rFonts w:cs="Arial"/>
          <w:b/>
          <w:szCs w:val="24"/>
        </w:rPr>
        <w:t>101,9%</w:t>
      </w:r>
      <w:r w:rsidRPr="00211D94">
        <w:rPr>
          <w:rFonts w:cs="Arial"/>
          <w:szCs w:val="24"/>
        </w:rPr>
        <w:t xml:space="preserve"> alokacji.</w:t>
      </w:r>
      <w:r w:rsidRPr="00211D94" w:rsidDel="00E868BB">
        <w:rPr>
          <w:rFonts w:cs="Arial"/>
          <w:szCs w:val="24"/>
        </w:rPr>
        <w:t xml:space="preserve"> </w:t>
      </w:r>
    </w:p>
    <w:p w14:paraId="488F6552" w14:textId="6B9F0033" w:rsidR="007D0568" w:rsidRPr="00211D94" w:rsidRDefault="007D0568" w:rsidP="00F55865">
      <w:pPr>
        <w:spacing w:before="120" w:after="120"/>
        <w:rPr>
          <w:rFonts w:cs="Arial"/>
          <w:szCs w:val="24"/>
        </w:rPr>
      </w:pPr>
      <w:r w:rsidRPr="00211D94">
        <w:rPr>
          <w:rFonts w:cs="Arial"/>
          <w:szCs w:val="24"/>
        </w:rPr>
        <w:t xml:space="preserve">Dla OP2 określono w odniesieniu do </w:t>
      </w:r>
      <w:r w:rsidRPr="00211D94">
        <w:rPr>
          <w:rFonts w:cs="Arial"/>
          <w:b/>
          <w:szCs w:val="24"/>
        </w:rPr>
        <w:t>ram wykonania</w:t>
      </w:r>
      <w:r w:rsidRPr="00211D94">
        <w:rPr>
          <w:rFonts w:cs="Arial"/>
          <w:szCs w:val="24"/>
        </w:rPr>
        <w:t xml:space="preserve"> </w:t>
      </w:r>
      <w:r w:rsidR="00342137" w:rsidRPr="00211D94">
        <w:rPr>
          <w:rFonts w:cs="Arial"/>
          <w:szCs w:val="24"/>
        </w:rPr>
        <w:t>dwa</w:t>
      </w:r>
      <w:r w:rsidRPr="00211D94">
        <w:rPr>
          <w:rFonts w:cs="Arial"/>
          <w:szCs w:val="24"/>
        </w:rPr>
        <w:t xml:space="preserve"> wskaźniki:</w:t>
      </w:r>
    </w:p>
    <w:p w14:paraId="6A084178" w14:textId="5B641279" w:rsidR="00231445" w:rsidRPr="00211D94" w:rsidRDefault="00753794" w:rsidP="00F55865">
      <w:pPr>
        <w:pStyle w:val="Akapitzlist"/>
        <w:numPr>
          <w:ilvl w:val="0"/>
          <w:numId w:val="10"/>
        </w:numPr>
        <w:spacing w:before="120" w:after="120" w:line="276" w:lineRule="auto"/>
        <w:ind w:left="357" w:hanging="357"/>
        <w:contextualSpacing w:val="0"/>
        <w:rPr>
          <w:rFonts w:cs="Arial"/>
          <w:szCs w:val="24"/>
        </w:rPr>
      </w:pPr>
      <w:r w:rsidRPr="00211D94">
        <w:rPr>
          <w:rFonts w:cs="Arial"/>
          <w:szCs w:val="24"/>
        </w:rPr>
        <w:t>„</w:t>
      </w:r>
      <w:r w:rsidR="007D0568" w:rsidRPr="00211D94">
        <w:rPr>
          <w:rFonts w:cs="Arial"/>
          <w:szCs w:val="24"/>
        </w:rPr>
        <w:t>Liczba przedsiębiorstw otrzymujących wsparcie</w:t>
      </w:r>
      <w:r w:rsidRPr="00211D94">
        <w:rPr>
          <w:rFonts w:cs="Arial"/>
          <w:szCs w:val="24"/>
        </w:rPr>
        <w:t>”</w:t>
      </w:r>
      <w:r w:rsidR="007D0568" w:rsidRPr="00211D94">
        <w:rPr>
          <w:rFonts w:cs="Arial"/>
          <w:szCs w:val="24"/>
        </w:rPr>
        <w:t xml:space="preserve">, dla którego osiągnięto wartość </w:t>
      </w:r>
      <w:r w:rsidR="003F4982" w:rsidRPr="00211D94">
        <w:rPr>
          <w:rFonts w:cs="Arial"/>
          <w:szCs w:val="24"/>
        </w:rPr>
        <w:t>3</w:t>
      </w:r>
      <w:r w:rsidR="00497043" w:rsidRPr="00211D94">
        <w:rPr>
          <w:rFonts w:cs="Arial"/>
          <w:szCs w:val="24"/>
        </w:rPr>
        <w:t> </w:t>
      </w:r>
      <w:r w:rsidR="003F4982" w:rsidRPr="00211D94">
        <w:rPr>
          <w:rFonts w:cs="Arial"/>
          <w:szCs w:val="24"/>
        </w:rPr>
        <w:t>120</w:t>
      </w:r>
      <w:r w:rsidR="007D0568" w:rsidRPr="00211D94">
        <w:rPr>
          <w:rFonts w:cs="Arial"/>
          <w:szCs w:val="24"/>
        </w:rPr>
        <w:t xml:space="preserve"> przedsiębiorstw, co stanowi </w:t>
      </w:r>
      <w:r w:rsidR="003F4982" w:rsidRPr="00211D94">
        <w:rPr>
          <w:rFonts w:cs="Arial"/>
          <w:szCs w:val="24"/>
        </w:rPr>
        <w:t>109,5</w:t>
      </w:r>
      <w:r w:rsidR="007D0568" w:rsidRPr="00211D94">
        <w:rPr>
          <w:rFonts w:cs="Arial"/>
          <w:szCs w:val="24"/>
        </w:rPr>
        <w:t xml:space="preserve">% celu końcowego (2023 r.). </w:t>
      </w:r>
    </w:p>
    <w:p w14:paraId="25B7EA9B" w14:textId="5220219C" w:rsidR="00392344" w:rsidRPr="00211D94" w:rsidRDefault="007D0568" w:rsidP="008B3DAE">
      <w:pPr>
        <w:pStyle w:val="Akapitzlist"/>
        <w:numPr>
          <w:ilvl w:val="0"/>
          <w:numId w:val="10"/>
        </w:numPr>
        <w:spacing w:before="120" w:after="120" w:line="276" w:lineRule="auto"/>
        <w:ind w:left="357" w:hanging="357"/>
        <w:contextualSpacing w:val="0"/>
      </w:pPr>
      <w:r w:rsidRPr="00211D94">
        <w:rPr>
          <w:rFonts w:cs="Arial"/>
          <w:szCs w:val="24"/>
        </w:rPr>
        <w:t>Całkowita kwota certyfikowanych wydatków kwalifikowalnych</w:t>
      </w:r>
      <w:r w:rsidRPr="00211D94">
        <w:rPr>
          <w:rFonts w:cs="Arial"/>
          <w:i/>
          <w:szCs w:val="24"/>
        </w:rPr>
        <w:t xml:space="preserve"> </w:t>
      </w:r>
      <w:r w:rsidRPr="00211D94">
        <w:rPr>
          <w:rFonts w:cs="Arial"/>
          <w:szCs w:val="24"/>
        </w:rPr>
        <w:t xml:space="preserve">– certyfikowano </w:t>
      </w:r>
      <w:r w:rsidR="003F4982" w:rsidRPr="00211D94">
        <w:rPr>
          <w:rFonts w:cs="Arial"/>
          <w:szCs w:val="24"/>
        </w:rPr>
        <w:t>223</w:t>
      </w:r>
      <w:r w:rsidR="00497043" w:rsidRPr="00211D94">
        <w:rPr>
          <w:rFonts w:cs="Arial"/>
          <w:szCs w:val="24"/>
        </w:rPr>
        <w:t> </w:t>
      </w:r>
      <w:r w:rsidR="003F4982" w:rsidRPr="00211D94">
        <w:rPr>
          <w:rFonts w:cs="Arial"/>
          <w:szCs w:val="24"/>
        </w:rPr>
        <w:t>150 795</w:t>
      </w:r>
      <w:r w:rsidRPr="00211D94">
        <w:rPr>
          <w:rFonts w:cs="Arial"/>
          <w:szCs w:val="24"/>
        </w:rPr>
        <w:t xml:space="preserve"> EUR </w:t>
      </w:r>
      <w:r w:rsidRPr="00211D94">
        <w:rPr>
          <w:rFonts w:cs="Arial"/>
          <w:i/>
          <w:szCs w:val="24"/>
        </w:rPr>
        <w:t xml:space="preserve">– </w:t>
      </w:r>
      <w:r w:rsidRPr="00211D94">
        <w:rPr>
          <w:rFonts w:cs="Arial"/>
          <w:szCs w:val="24"/>
        </w:rPr>
        <w:t>co powoduje, że cel końcowy (2023 r.)</w:t>
      </w:r>
      <w:r w:rsidR="003F4982" w:rsidRPr="00211D94">
        <w:rPr>
          <w:rFonts w:cs="Arial"/>
          <w:szCs w:val="24"/>
        </w:rPr>
        <w:t xml:space="preserve"> został osiągnięty</w:t>
      </w:r>
      <w:r w:rsidRPr="00211D94">
        <w:rPr>
          <w:rFonts w:cs="Arial"/>
          <w:szCs w:val="24"/>
        </w:rPr>
        <w:t xml:space="preserve"> na poziomie </w:t>
      </w:r>
      <w:r w:rsidR="003F4982" w:rsidRPr="00211D94">
        <w:rPr>
          <w:rFonts w:cs="Arial"/>
          <w:szCs w:val="24"/>
        </w:rPr>
        <w:t>11</w:t>
      </w:r>
      <w:r w:rsidRPr="00211D94">
        <w:rPr>
          <w:rFonts w:cs="Arial"/>
          <w:szCs w:val="24"/>
        </w:rPr>
        <w:t xml:space="preserve">9,0%. </w:t>
      </w:r>
      <w:r w:rsidR="00392344" w:rsidRPr="00211D94">
        <w:rPr>
          <w:rFonts w:cs="Arial"/>
          <w:szCs w:val="24"/>
        </w:rPr>
        <w:t>Wskaźnik finansowy obejmuje wydatki kwalifikowalne przekazane do KE</w:t>
      </w:r>
      <w:r w:rsidR="00231445" w:rsidRPr="00211D94">
        <w:rPr>
          <w:rFonts w:cs="Arial"/>
          <w:szCs w:val="24"/>
        </w:rPr>
        <w:t>.</w:t>
      </w:r>
      <w:r w:rsidR="00392344" w:rsidRPr="00211D94" w:rsidDel="00392344">
        <w:rPr>
          <w:rFonts w:cs="Arial"/>
          <w:szCs w:val="24"/>
        </w:rPr>
        <w:t xml:space="preserve"> </w:t>
      </w:r>
    </w:p>
    <w:p w14:paraId="2BC9BA25" w14:textId="03B83294" w:rsidR="004C5802" w:rsidRPr="00211D94" w:rsidRDefault="00F25247" w:rsidP="008B3DAE">
      <w:pPr>
        <w:tabs>
          <w:tab w:val="left" w:pos="432"/>
        </w:tabs>
        <w:spacing w:before="120" w:after="120"/>
        <w:rPr>
          <w:rFonts w:cs="Arial"/>
          <w:szCs w:val="24"/>
        </w:rPr>
      </w:pPr>
      <w:r w:rsidRPr="00211D94">
        <w:rPr>
          <w:rFonts w:cs="Arial"/>
          <w:szCs w:val="24"/>
        </w:rPr>
        <w:t xml:space="preserve">W PI 3c zastosowano </w:t>
      </w:r>
      <w:r w:rsidR="00392344" w:rsidRPr="00211D94">
        <w:rPr>
          <w:rFonts w:cs="Arial"/>
          <w:szCs w:val="24"/>
        </w:rPr>
        <w:t>zróżnicowane instrumenty wsparcia</w:t>
      </w:r>
      <w:r w:rsidRPr="00211D94">
        <w:rPr>
          <w:rFonts w:cs="Arial"/>
          <w:szCs w:val="24"/>
        </w:rPr>
        <w:t>: dotacj</w:t>
      </w:r>
      <w:r w:rsidR="00392344" w:rsidRPr="00211D94">
        <w:rPr>
          <w:rFonts w:cs="Arial"/>
          <w:szCs w:val="24"/>
        </w:rPr>
        <w:t>e</w:t>
      </w:r>
      <w:r w:rsidRPr="00211D94">
        <w:rPr>
          <w:rFonts w:cs="Arial"/>
          <w:szCs w:val="24"/>
        </w:rPr>
        <w:t xml:space="preserve"> </w:t>
      </w:r>
      <w:r w:rsidR="00392344" w:rsidRPr="00211D94">
        <w:rPr>
          <w:rFonts w:cs="Arial"/>
          <w:szCs w:val="24"/>
        </w:rPr>
        <w:t>oraz</w:t>
      </w:r>
      <w:r w:rsidRPr="00211D94">
        <w:rPr>
          <w:rFonts w:cs="Arial"/>
          <w:szCs w:val="24"/>
        </w:rPr>
        <w:t xml:space="preserve"> instrumenty zwrotne </w:t>
      </w:r>
      <w:r w:rsidR="00392344" w:rsidRPr="00211D94">
        <w:rPr>
          <w:rFonts w:cs="Arial"/>
          <w:szCs w:val="24"/>
        </w:rPr>
        <w:t>(</w:t>
      </w:r>
      <w:r w:rsidRPr="00211D94">
        <w:rPr>
          <w:rFonts w:cs="Arial"/>
          <w:szCs w:val="24"/>
        </w:rPr>
        <w:t>pożyczki i poręczenia</w:t>
      </w:r>
      <w:r w:rsidR="00392344" w:rsidRPr="00211D94">
        <w:rPr>
          <w:rFonts w:cs="Arial"/>
          <w:szCs w:val="24"/>
        </w:rPr>
        <w:t>)</w:t>
      </w:r>
      <w:r w:rsidRPr="00211D94">
        <w:rPr>
          <w:rFonts w:cs="Arial"/>
          <w:szCs w:val="24"/>
        </w:rPr>
        <w:t xml:space="preserve">. Wspierano dwa typy przedsięwzięć inwestycyjnych: inwestycje podstawowe oraz inwestycje profilowane. </w:t>
      </w:r>
    </w:p>
    <w:p w14:paraId="3C06508E" w14:textId="2D413A38" w:rsidR="00497043" w:rsidRPr="00211D94" w:rsidRDefault="00F25247" w:rsidP="00F55865">
      <w:pPr>
        <w:tabs>
          <w:tab w:val="left" w:pos="432"/>
        </w:tabs>
        <w:spacing w:before="120" w:after="120"/>
        <w:rPr>
          <w:rFonts w:cs="Arial"/>
          <w:szCs w:val="24"/>
        </w:rPr>
      </w:pPr>
      <w:r w:rsidRPr="00211D94">
        <w:rPr>
          <w:rFonts w:cs="Arial"/>
          <w:szCs w:val="24"/>
        </w:rPr>
        <w:t>Wsparcie na inwestycje podstawowe (Działanie 2.1</w:t>
      </w:r>
      <w:r w:rsidR="006323F7" w:rsidRPr="00211D94">
        <w:rPr>
          <w:rFonts w:cs="Arial"/>
          <w:szCs w:val="24"/>
        </w:rPr>
        <w:t>.</w:t>
      </w:r>
      <w:r w:rsidR="005716F7" w:rsidRPr="00211D94">
        <w:rPr>
          <w:rFonts w:cs="Arial"/>
          <w:szCs w:val="24"/>
        </w:rPr>
        <w:t xml:space="preserve"> </w:t>
      </w:r>
      <w:r w:rsidR="00753794" w:rsidRPr="00211D94">
        <w:rPr>
          <w:rFonts w:cs="Arial"/>
          <w:szCs w:val="24"/>
        </w:rPr>
        <w:t>„</w:t>
      </w:r>
      <w:r w:rsidR="005716F7" w:rsidRPr="00211D94">
        <w:rPr>
          <w:rFonts w:cs="Arial"/>
          <w:szCs w:val="24"/>
        </w:rPr>
        <w:t xml:space="preserve">Inwestycje podstawowe i profilowane - wsparcie </w:t>
      </w:r>
      <w:proofErr w:type="spellStart"/>
      <w:r w:rsidR="005716F7" w:rsidRPr="00211D94">
        <w:rPr>
          <w:rFonts w:cs="Arial"/>
          <w:szCs w:val="24"/>
        </w:rPr>
        <w:t>pozadotacyjne</w:t>
      </w:r>
      <w:proofErr w:type="spellEnd"/>
      <w:r w:rsidR="00753794" w:rsidRPr="00211D94">
        <w:rPr>
          <w:rFonts w:cs="Arial"/>
          <w:szCs w:val="24"/>
        </w:rPr>
        <w:t>”</w:t>
      </w:r>
      <w:r w:rsidRPr="00211D94">
        <w:rPr>
          <w:rFonts w:cs="Arial"/>
          <w:szCs w:val="24"/>
        </w:rPr>
        <w:t xml:space="preserve">) adresowane były do mikro i małych przedsiębiorstw, w szczególności będących we wczesnej fazie rozwoju. </w:t>
      </w:r>
      <w:r w:rsidR="005716F7" w:rsidRPr="00211D94">
        <w:rPr>
          <w:rFonts w:cs="Arial"/>
          <w:szCs w:val="24"/>
        </w:rPr>
        <w:t xml:space="preserve">Instrumenty finansowe realizowane były poprzez umowę </w:t>
      </w:r>
      <w:r w:rsidR="009F18D9" w:rsidRPr="00211D94">
        <w:rPr>
          <w:rFonts w:cs="Arial"/>
          <w:szCs w:val="24"/>
        </w:rPr>
        <w:t xml:space="preserve">o </w:t>
      </w:r>
      <w:r w:rsidR="005716F7" w:rsidRPr="00211D94">
        <w:rPr>
          <w:rFonts w:cs="Arial"/>
          <w:szCs w:val="24"/>
        </w:rPr>
        <w:t>finansowani</w:t>
      </w:r>
      <w:r w:rsidR="009F18D9" w:rsidRPr="00211D94">
        <w:rPr>
          <w:rFonts w:cs="Arial"/>
          <w:szCs w:val="24"/>
        </w:rPr>
        <w:t>u</w:t>
      </w:r>
      <w:r w:rsidR="005716F7" w:rsidRPr="00211D94">
        <w:rPr>
          <w:rFonts w:cs="Arial"/>
          <w:szCs w:val="24"/>
        </w:rPr>
        <w:t xml:space="preserve"> zawartą z podmiotem wdrażającym Fundusz Funduszy (B</w:t>
      </w:r>
      <w:r w:rsidR="00194CDA" w:rsidRPr="00211D94">
        <w:rPr>
          <w:rFonts w:cs="Arial"/>
          <w:szCs w:val="24"/>
        </w:rPr>
        <w:t xml:space="preserve">ank </w:t>
      </w:r>
      <w:r w:rsidR="005716F7" w:rsidRPr="00211D94">
        <w:rPr>
          <w:rFonts w:cs="Arial"/>
          <w:szCs w:val="24"/>
        </w:rPr>
        <w:t>G</w:t>
      </w:r>
      <w:r w:rsidR="00194CDA" w:rsidRPr="00211D94">
        <w:rPr>
          <w:rFonts w:cs="Arial"/>
          <w:szCs w:val="24"/>
        </w:rPr>
        <w:t xml:space="preserve">ospodarstwa </w:t>
      </w:r>
      <w:r w:rsidR="005716F7" w:rsidRPr="00211D94">
        <w:rPr>
          <w:rFonts w:cs="Arial"/>
          <w:szCs w:val="24"/>
        </w:rPr>
        <w:t>K</w:t>
      </w:r>
      <w:r w:rsidR="00194CDA" w:rsidRPr="00211D94">
        <w:rPr>
          <w:rFonts w:cs="Arial"/>
          <w:szCs w:val="24"/>
        </w:rPr>
        <w:t>rajowego</w:t>
      </w:r>
      <w:r w:rsidR="005716F7" w:rsidRPr="00211D94">
        <w:rPr>
          <w:rFonts w:cs="Arial"/>
          <w:szCs w:val="24"/>
        </w:rPr>
        <w:t xml:space="preserve">). </w:t>
      </w:r>
      <w:r w:rsidR="00497043" w:rsidRPr="00211D94">
        <w:rPr>
          <w:rFonts w:cs="Arial"/>
          <w:szCs w:val="24"/>
        </w:rPr>
        <w:t>W formie zwrotnej finansowane były przedsięwzięcia rozwojowe przedsiębiorstw poprawiające ich potencjał konkurencyjny, zdolność do rozszerzenia działalności o nowe produkty lub usługi oraz zwiększające produktywność</w:t>
      </w:r>
      <w:r w:rsidR="002A4B8D" w:rsidRPr="00211D94">
        <w:rPr>
          <w:rFonts w:cs="Arial"/>
          <w:szCs w:val="24"/>
        </w:rPr>
        <w:t>, co przełożyło się na wartość wskaźnika „Liczba przedsiębiorstw otrzymujących wsparcie finansowe inne niż dotacje” -</w:t>
      </w:r>
      <w:r w:rsidR="00542DA6" w:rsidRPr="00211D94">
        <w:rPr>
          <w:rFonts w:cs="Arial"/>
          <w:szCs w:val="24"/>
        </w:rPr>
        <w:t xml:space="preserve"> 2 716 </w:t>
      </w:r>
      <w:r w:rsidR="002A4B8D" w:rsidRPr="00211D94">
        <w:rPr>
          <w:rFonts w:cs="Arial"/>
          <w:szCs w:val="24"/>
        </w:rPr>
        <w:t>szt.</w:t>
      </w:r>
      <w:r w:rsidR="00542DA6" w:rsidRPr="00211D94">
        <w:rPr>
          <w:rFonts w:cs="Arial"/>
          <w:szCs w:val="24"/>
        </w:rPr>
        <w:t xml:space="preserve"> (113,2% wartości docelowej). </w:t>
      </w:r>
    </w:p>
    <w:p w14:paraId="3B983796" w14:textId="6BA820DB" w:rsidR="00DC1012" w:rsidRPr="00211D94" w:rsidRDefault="004C5802" w:rsidP="00F55865">
      <w:pPr>
        <w:tabs>
          <w:tab w:val="left" w:pos="432"/>
        </w:tabs>
        <w:spacing w:before="120" w:after="120"/>
        <w:rPr>
          <w:rFonts w:cs="Arial"/>
          <w:szCs w:val="24"/>
        </w:rPr>
      </w:pPr>
      <w:r w:rsidRPr="00211D94">
        <w:rPr>
          <w:rFonts w:cs="Arial"/>
          <w:szCs w:val="24"/>
        </w:rPr>
        <w:t xml:space="preserve">Interwencja </w:t>
      </w:r>
      <w:r w:rsidR="002A4B8D" w:rsidRPr="00211D94">
        <w:rPr>
          <w:rFonts w:cs="Arial"/>
          <w:szCs w:val="24"/>
        </w:rPr>
        <w:t xml:space="preserve">miała również na celu </w:t>
      </w:r>
      <w:r w:rsidRPr="00211D94">
        <w:rPr>
          <w:rFonts w:cs="Arial"/>
          <w:szCs w:val="24"/>
        </w:rPr>
        <w:t>niwelowanie negatywnych konsekwencji epidemii COVID-19, które dotknęły przedsiębiorstwa i ich pracowników. Wsparciem objęte zostały projekty ukierunkowane na zapewnienie płynności finansowej mikro, małych i średnich przedsiębiorstw, co pozwoliło na zachowanie ciągłości ich funkcjonowania.</w:t>
      </w:r>
      <w:r w:rsidR="00231445" w:rsidRPr="00211D94">
        <w:rPr>
          <w:rFonts w:cs="Arial"/>
          <w:szCs w:val="24"/>
        </w:rPr>
        <w:t xml:space="preserve"> </w:t>
      </w:r>
      <w:r w:rsidR="00DC1012" w:rsidRPr="00211D94">
        <w:rPr>
          <w:rFonts w:cs="Arial"/>
          <w:szCs w:val="24"/>
        </w:rPr>
        <w:t>Na finansowanie kapitału obrotowego przeznaczono</w:t>
      </w:r>
      <w:r w:rsidR="00194CDA" w:rsidRPr="00211D94">
        <w:rPr>
          <w:rFonts w:cs="Arial"/>
          <w:szCs w:val="24"/>
        </w:rPr>
        <w:t xml:space="preserve"> </w:t>
      </w:r>
      <w:r w:rsidR="00DC1012" w:rsidRPr="00211D94">
        <w:rPr>
          <w:rFonts w:cs="Arial"/>
          <w:szCs w:val="24"/>
        </w:rPr>
        <w:t xml:space="preserve">12 mln EUR całkowitych kosztów publicznych (103,5% wartości docelowej), wspierając </w:t>
      </w:r>
      <w:r w:rsidR="00231445" w:rsidRPr="00211D94">
        <w:rPr>
          <w:rFonts w:cs="Arial"/>
          <w:szCs w:val="24"/>
        </w:rPr>
        <w:t xml:space="preserve">tym samym </w:t>
      </w:r>
      <w:r w:rsidR="00DC1012" w:rsidRPr="00211D94">
        <w:rPr>
          <w:rFonts w:cs="Arial"/>
          <w:szCs w:val="24"/>
        </w:rPr>
        <w:t>590 przedsiębiorców</w:t>
      </w:r>
      <w:r w:rsidR="00231445" w:rsidRPr="00211D94">
        <w:rPr>
          <w:rFonts w:cs="Arial"/>
          <w:szCs w:val="24"/>
        </w:rPr>
        <w:t xml:space="preserve"> (196,7% wartości docelowej).</w:t>
      </w:r>
    </w:p>
    <w:p w14:paraId="2676EE51" w14:textId="593257BE" w:rsidR="00231445" w:rsidRPr="00211D94" w:rsidRDefault="00F25247" w:rsidP="00F55865">
      <w:pPr>
        <w:tabs>
          <w:tab w:val="left" w:pos="432"/>
        </w:tabs>
        <w:spacing w:before="120" w:after="120"/>
        <w:rPr>
          <w:rFonts w:cs="Arial"/>
          <w:szCs w:val="24"/>
        </w:rPr>
      </w:pPr>
      <w:r w:rsidRPr="00211D94">
        <w:rPr>
          <w:rFonts w:cs="Arial"/>
          <w:szCs w:val="24"/>
        </w:rPr>
        <w:t>Wsparcie na inwestycje profilowane (Poddziałanie 2.2.1</w:t>
      </w:r>
      <w:r w:rsidR="002526A7" w:rsidRPr="00211D94">
        <w:rPr>
          <w:rFonts w:cs="Arial"/>
          <w:szCs w:val="24"/>
        </w:rPr>
        <w:t>.</w:t>
      </w:r>
      <w:r w:rsidR="004C5802" w:rsidRPr="00211D94">
        <w:rPr>
          <w:rFonts w:cs="Arial"/>
          <w:szCs w:val="24"/>
        </w:rPr>
        <w:t xml:space="preserve"> </w:t>
      </w:r>
      <w:r w:rsidR="00753794" w:rsidRPr="00211D94">
        <w:rPr>
          <w:rFonts w:cs="Arial"/>
          <w:szCs w:val="24"/>
        </w:rPr>
        <w:t>„</w:t>
      </w:r>
      <w:r w:rsidR="004C5802" w:rsidRPr="00211D94">
        <w:rPr>
          <w:rFonts w:cs="Arial"/>
          <w:szCs w:val="24"/>
        </w:rPr>
        <w:t>Inwestycje profilowane - wsparcie dotacyjne</w:t>
      </w:r>
      <w:r w:rsidR="00753794" w:rsidRPr="00211D94">
        <w:rPr>
          <w:rFonts w:cs="Arial"/>
          <w:szCs w:val="24"/>
        </w:rPr>
        <w:t>”</w:t>
      </w:r>
      <w:r w:rsidRPr="00211D94">
        <w:rPr>
          <w:rFonts w:cs="Arial"/>
          <w:szCs w:val="24"/>
        </w:rPr>
        <w:t xml:space="preserve">) </w:t>
      </w:r>
      <w:r w:rsidR="00231445" w:rsidRPr="00211D94">
        <w:rPr>
          <w:rFonts w:cs="Arial"/>
          <w:szCs w:val="24"/>
        </w:rPr>
        <w:t>kierowano do MŚP posiadających potencjał rozwojowy, w szczególności w obszarach inteligentnych specjalizacji. Finansowano inwestycje umożliwiające zmianę procesu produkcji, zakup maszyn, rozbudowę infrastruktury oraz poprawę jakości produktów i usług. Wskaźnik „Liczba przedsiębiorstw otrzymujących dotacje” osiągnął 491 szt. (109,1% celu docelowego).</w:t>
      </w:r>
      <w:r w:rsidR="00231445" w:rsidRPr="00211D94" w:rsidDel="00231445">
        <w:rPr>
          <w:rFonts w:cs="Arial"/>
          <w:szCs w:val="24"/>
        </w:rPr>
        <w:t xml:space="preserve"> </w:t>
      </w:r>
    </w:p>
    <w:p w14:paraId="4CB1A619" w14:textId="38ECCE42" w:rsidR="00231445" w:rsidRPr="00211D94" w:rsidRDefault="00231445" w:rsidP="00F55865">
      <w:pPr>
        <w:tabs>
          <w:tab w:val="left" w:pos="432"/>
        </w:tabs>
        <w:spacing w:before="120" w:after="120"/>
        <w:rPr>
          <w:rFonts w:cs="Arial"/>
          <w:szCs w:val="24"/>
        </w:rPr>
      </w:pPr>
      <w:r w:rsidRPr="00211D94">
        <w:t>Dodatkowo wsparto branżę czasu wolnego –</w:t>
      </w:r>
      <w:r w:rsidRPr="00211D94">
        <w:rPr>
          <w:rFonts w:cs="Arial"/>
          <w:szCs w:val="24"/>
        </w:rPr>
        <w:t>uznan</w:t>
      </w:r>
      <w:r w:rsidR="009F18D9" w:rsidRPr="00211D94">
        <w:rPr>
          <w:rFonts w:cs="Arial"/>
          <w:szCs w:val="24"/>
        </w:rPr>
        <w:t>ą</w:t>
      </w:r>
      <w:r w:rsidRPr="00211D94">
        <w:rPr>
          <w:rFonts w:cs="Arial"/>
          <w:szCs w:val="24"/>
        </w:rPr>
        <w:t xml:space="preserve"> za najbardziej dotkniętą pandemią COVID-19 </w:t>
      </w:r>
      <w:r w:rsidRPr="00211D94">
        <w:t>– finansując dostosowania do wymogów sanitarnych oraz kapitał obrotowy. Wskaźnik „Liczba MŚP objętych wsparciem bezzwrotnym finansującym kapitał obrotowy w związku z COVID-19” wyniósł 249 szt. (166% wartości docelowej).</w:t>
      </w:r>
      <w:r w:rsidRPr="00211D94">
        <w:rPr>
          <w:rFonts w:cs="Arial"/>
          <w:szCs w:val="24"/>
        </w:rPr>
        <w:t xml:space="preserve"> </w:t>
      </w:r>
    </w:p>
    <w:p w14:paraId="0E84033C" w14:textId="4C8AC37F" w:rsidR="007025A6" w:rsidRPr="00211D94" w:rsidRDefault="007025A6" w:rsidP="00F55865">
      <w:pPr>
        <w:tabs>
          <w:tab w:val="left" w:pos="432"/>
        </w:tabs>
        <w:spacing w:before="120" w:after="120"/>
        <w:rPr>
          <w:rFonts w:cs="Arial"/>
          <w:szCs w:val="24"/>
        </w:rPr>
      </w:pPr>
      <w:r w:rsidRPr="00211D94">
        <w:rPr>
          <w:rFonts w:cs="Arial"/>
          <w:szCs w:val="24"/>
        </w:rPr>
        <w:t xml:space="preserve">Celem PI 3b było zwiększenie poziomu handlu zagranicznego sektora MŚP. </w:t>
      </w:r>
      <w:r w:rsidR="00A41511" w:rsidRPr="00211D94">
        <w:rPr>
          <w:rFonts w:cs="Arial"/>
          <w:szCs w:val="24"/>
        </w:rPr>
        <w:t>P</w:t>
      </w:r>
      <w:r w:rsidR="00FA3A28" w:rsidRPr="00211D94">
        <w:rPr>
          <w:rFonts w:cs="Arial"/>
          <w:szCs w:val="24"/>
        </w:rPr>
        <w:t xml:space="preserve">rojekt grantowy „Pomorski Broker Eksportowy – Kompleksowy system wspierania eksportu w województwie pomorskim” o wartości 22 mln EUR (16 mln EUR dofinansowania UE), </w:t>
      </w:r>
      <w:r w:rsidR="00A41511" w:rsidRPr="00211D94">
        <w:rPr>
          <w:rFonts w:cs="Arial"/>
          <w:szCs w:val="24"/>
        </w:rPr>
        <w:t>został z</w:t>
      </w:r>
      <w:r w:rsidR="00FA3A28" w:rsidRPr="00211D94">
        <w:rPr>
          <w:rFonts w:cs="Arial"/>
          <w:szCs w:val="24"/>
        </w:rPr>
        <w:t>realizowany przez ARP z partnerami. Projekt dostarczał przedsiębiorstwom kompleksowego wsparcia w rozwoju eksportu, obejmującego doradztwo, udział w targach i promocję zagraniczną</w:t>
      </w:r>
      <w:r w:rsidR="00A41511" w:rsidRPr="00211D94">
        <w:rPr>
          <w:rFonts w:cs="Arial"/>
          <w:szCs w:val="24"/>
        </w:rPr>
        <w:t>. Ze</w:t>
      </w:r>
      <w:r w:rsidR="008A282D" w:rsidRPr="00211D94">
        <w:rPr>
          <w:rFonts w:cs="Arial"/>
          <w:szCs w:val="24"/>
        </w:rPr>
        <w:t xml:space="preserve"> </w:t>
      </w:r>
      <w:r w:rsidR="00A41511" w:rsidRPr="00211D94">
        <w:rPr>
          <w:rFonts w:cs="Arial"/>
          <w:szCs w:val="24"/>
        </w:rPr>
        <w:t xml:space="preserve">względu na kompleksowe i systemowe podejście osiągnięto większą efektywność tego przedsięwzięcia  - </w:t>
      </w:r>
      <w:r w:rsidR="00194CDA" w:rsidRPr="00211D94">
        <w:rPr>
          <w:rFonts w:cs="Arial"/>
          <w:szCs w:val="24"/>
        </w:rPr>
        <w:t>wsparto</w:t>
      </w:r>
      <w:r w:rsidR="00FA3A28" w:rsidRPr="00211D94">
        <w:rPr>
          <w:rFonts w:cs="Arial"/>
          <w:szCs w:val="24"/>
        </w:rPr>
        <w:t xml:space="preserve"> </w:t>
      </w:r>
      <w:r w:rsidR="008A282D" w:rsidRPr="00211D94">
        <w:rPr>
          <w:rFonts w:cs="Arial"/>
          <w:szCs w:val="24"/>
        </w:rPr>
        <w:t xml:space="preserve">aż </w:t>
      </w:r>
      <w:r w:rsidR="00FA3A28" w:rsidRPr="00211D94">
        <w:rPr>
          <w:rFonts w:cs="Arial"/>
          <w:szCs w:val="24"/>
        </w:rPr>
        <w:t>2</w:t>
      </w:r>
      <w:r w:rsidR="00194CDA" w:rsidRPr="00211D94">
        <w:rPr>
          <w:rFonts w:cs="Arial"/>
          <w:szCs w:val="24"/>
        </w:rPr>
        <w:t> </w:t>
      </w:r>
      <w:r w:rsidR="00FA3A28" w:rsidRPr="00211D94">
        <w:rPr>
          <w:rFonts w:cs="Arial"/>
          <w:szCs w:val="24"/>
        </w:rPr>
        <w:t>481 firm (496,2% celu).</w:t>
      </w:r>
      <w:r w:rsidR="00FA3A28" w:rsidRPr="00211D94" w:rsidDel="00FA3A28">
        <w:rPr>
          <w:rFonts w:cs="Arial"/>
          <w:szCs w:val="24"/>
        </w:rPr>
        <w:t xml:space="preserve"> </w:t>
      </w:r>
      <w:r w:rsidR="00DE6884" w:rsidRPr="00211D94">
        <w:rPr>
          <w:rFonts w:cs="Arial"/>
          <w:szCs w:val="24"/>
        </w:rPr>
        <w:t>Wyniki te podkreślają efektywność projektu w aspekcie międzynarodowej ekspansji i wskazują na jego istotne znaczenie w promowaniu internacjonalizacji przedsiębiorstw z Pomorza.</w:t>
      </w:r>
    </w:p>
    <w:p w14:paraId="08229D8B" w14:textId="622A101D" w:rsidR="008A282D" w:rsidRPr="00211D94" w:rsidRDefault="008A282D" w:rsidP="00F55865">
      <w:pPr>
        <w:tabs>
          <w:tab w:val="left" w:pos="432"/>
        </w:tabs>
        <w:spacing w:before="120" w:after="120"/>
        <w:rPr>
          <w:rFonts w:cs="Arial"/>
          <w:szCs w:val="24"/>
        </w:rPr>
      </w:pPr>
      <w:r w:rsidRPr="00211D94">
        <w:t>Projekt realizowano w trudnych warunkach – pandemia COVID-19 ograniczyła ekspansję zagraniczną, a wojna w Ukrainie zahamowała współpracę z kluczowymi partnerami. Pomimo tych barier, inicjatywa przyczyniła się do wzrostu eksportu, nawiązania kontaktów handlowych oraz podpisania licznych umów międzynarodowych, wzmacniając pozycję pomorskich MŚP na rynkach zagranicznych.</w:t>
      </w:r>
      <w:r w:rsidRPr="00211D94" w:rsidDel="008A282D">
        <w:rPr>
          <w:rFonts w:cs="Arial"/>
          <w:szCs w:val="24"/>
        </w:rPr>
        <w:t xml:space="preserve"> </w:t>
      </w:r>
    </w:p>
    <w:p w14:paraId="02935A92" w14:textId="0C97D913" w:rsidR="00543518" w:rsidRPr="00211D94" w:rsidRDefault="00543518" w:rsidP="00F55865">
      <w:pPr>
        <w:tabs>
          <w:tab w:val="left" w:pos="432"/>
        </w:tabs>
        <w:spacing w:before="120" w:after="120"/>
        <w:rPr>
          <w:rFonts w:cs="Arial"/>
          <w:szCs w:val="24"/>
        </w:rPr>
      </w:pPr>
      <w:r w:rsidRPr="00211D94">
        <w:rPr>
          <w:rFonts w:cs="Arial"/>
          <w:szCs w:val="24"/>
        </w:rPr>
        <w:t xml:space="preserve">Rozwój potencjału IOB do świadczenia specjalistycznych usług doradczych był przedmiotem </w:t>
      </w:r>
      <w:r w:rsidR="00361F68" w:rsidRPr="00211D94">
        <w:rPr>
          <w:rFonts w:cs="Arial"/>
          <w:szCs w:val="24"/>
        </w:rPr>
        <w:t>trzech projektów realizowalnych w ramach D</w:t>
      </w:r>
      <w:r w:rsidRPr="00211D94">
        <w:rPr>
          <w:rFonts w:cs="Arial"/>
          <w:szCs w:val="24"/>
        </w:rPr>
        <w:t>ziałania 2.4</w:t>
      </w:r>
      <w:r w:rsidR="002526A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Otoczenie biznesu</w:t>
      </w:r>
      <w:r w:rsidR="00753794" w:rsidRPr="00211D94">
        <w:rPr>
          <w:rFonts w:cs="Arial"/>
          <w:szCs w:val="24"/>
        </w:rPr>
        <w:t>”</w:t>
      </w:r>
      <w:r w:rsidR="00361F68" w:rsidRPr="00211D94">
        <w:rPr>
          <w:rFonts w:cs="Arial"/>
          <w:szCs w:val="24"/>
        </w:rPr>
        <w:t xml:space="preserve"> (PI 3a)</w:t>
      </w:r>
      <w:r w:rsidRPr="00211D94">
        <w:rPr>
          <w:rFonts w:cs="Arial"/>
          <w:szCs w:val="24"/>
        </w:rPr>
        <w:t xml:space="preserve">, w tym </w:t>
      </w:r>
      <w:r w:rsidR="00A41511" w:rsidRPr="00211D94">
        <w:rPr>
          <w:rFonts w:cs="Arial"/>
          <w:szCs w:val="24"/>
        </w:rPr>
        <w:t xml:space="preserve">w </w:t>
      </w:r>
      <w:r w:rsidRPr="00211D94">
        <w:rPr>
          <w:rFonts w:cs="Arial"/>
          <w:szCs w:val="24"/>
        </w:rPr>
        <w:t>poddziała</w:t>
      </w:r>
      <w:r w:rsidR="00A41511" w:rsidRPr="00211D94">
        <w:rPr>
          <w:rFonts w:cs="Arial"/>
          <w:szCs w:val="24"/>
        </w:rPr>
        <w:t>niach</w:t>
      </w:r>
      <w:r w:rsidRPr="00211D94">
        <w:rPr>
          <w:rFonts w:cs="Arial"/>
          <w:szCs w:val="24"/>
        </w:rPr>
        <w:t xml:space="preserve">: </w:t>
      </w:r>
    </w:p>
    <w:p w14:paraId="46F81E2E" w14:textId="140905F6" w:rsidR="00361F68" w:rsidRPr="00211D94" w:rsidRDefault="00543518" w:rsidP="00F55865">
      <w:pPr>
        <w:numPr>
          <w:ilvl w:val="0"/>
          <w:numId w:val="58"/>
        </w:numPr>
        <w:tabs>
          <w:tab w:val="left" w:pos="432"/>
        </w:tabs>
        <w:spacing w:before="120" w:after="120"/>
        <w:ind w:left="425" w:hanging="425"/>
        <w:rPr>
          <w:rFonts w:cs="Arial"/>
          <w:szCs w:val="24"/>
        </w:rPr>
      </w:pPr>
      <w:r w:rsidRPr="00211D94">
        <w:rPr>
          <w:rFonts w:cs="Arial"/>
          <w:szCs w:val="24"/>
        </w:rPr>
        <w:t>2.4.1</w:t>
      </w:r>
      <w:r w:rsidR="002526A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Specjalistyczne usługi doradcze</w:t>
      </w:r>
      <w:r w:rsidR="00753794" w:rsidRPr="00211D94">
        <w:rPr>
          <w:rFonts w:cs="Arial"/>
          <w:szCs w:val="24"/>
        </w:rPr>
        <w:t>”</w:t>
      </w:r>
      <w:r w:rsidR="00361F68" w:rsidRPr="00211D94">
        <w:rPr>
          <w:rFonts w:cs="Arial"/>
          <w:szCs w:val="24"/>
        </w:rPr>
        <w:t xml:space="preserve"> – projekt „SPEKTRUM. Pomorski System Usług Doradczych” zrealizowany przez ARP</w:t>
      </w:r>
      <w:r w:rsidR="00C85CCB" w:rsidRPr="00211D94">
        <w:rPr>
          <w:rFonts w:cs="Arial"/>
          <w:szCs w:val="24"/>
        </w:rPr>
        <w:t>;</w:t>
      </w:r>
    </w:p>
    <w:p w14:paraId="554A7194" w14:textId="6F887637" w:rsidR="00361F68" w:rsidRPr="00211D94" w:rsidRDefault="00543518" w:rsidP="00F55865">
      <w:pPr>
        <w:numPr>
          <w:ilvl w:val="0"/>
          <w:numId w:val="58"/>
        </w:numPr>
        <w:tabs>
          <w:tab w:val="left" w:pos="432"/>
        </w:tabs>
        <w:spacing w:before="120" w:after="120"/>
        <w:ind w:left="425" w:hanging="425"/>
        <w:rPr>
          <w:rFonts w:cs="Arial"/>
          <w:szCs w:val="24"/>
        </w:rPr>
      </w:pPr>
      <w:r w:rsidRPr="00211D94">
        <w:rPr>
          <w:rFonts w:cs="Arial"/>
          <w:szCs w:val="24"/>
        </w:rPr>
        <w:t>2.4.2</w:t>
      </w:r>
      <w:r w:rsidR="002526A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Wsparcie instytucji otoczenia biznesu na terenie obszaru metropolitalnego Trójmiasta – Mechanizm ZIT</w:t>
      </w:r>
      <w:r w:rsidR="00753794" w:rsidRPr="00211D94">
        <w:rPr>
          <w:rFonts w:cs="Arial"/>
          <w:szCs w:val="24"/>
        </w:rPr>
        <w:t>”</w:t>
      </w:r>
      <w:r w:rsidR="00361F68" w:rsidRPr="00211D94">
        <w:rPr>
          <w:rFonts w:cs="Arial"/>
          <w:szCs w:val="24"/>
        </w:rPr>
        <w:t xml:space="preserve"> - </w:t>
      </w:r>
      <w:r w:rsidR="008A282D" w:rsidRPr="00211D94">
        <w:t xml:space="preserve">projekt </w:t>
      </w:r>
      <w:r w:rsidR="00A41511" w:rsidRPr="00211D94">
        <w:t xml:space="preserve">zrealizowany przez Pomorski Park Naukowo – Techniczny Gdynia </w:t>
      </w:r>
      <w:r w:rsidR="00C0297B" w:rsidRPr="00211D94">
        <w:t>(</w:t>
      </w:r>
      <w:r w:rsidR="00A41511" w:rsidRPr="00211D94">
        <w:t xml:space="preserve">jednostkę budżetową Gminy </w:t>
      </w:r>
      <w:proofErr w:type="spellStart"/>
      <w:r w:rsidR="008A282D" w:rsidRPr="00211D94">
        <w:t>Gminy</w:t>
      </w:r>
      <w:proofErr w:type="spellEnd"/>
      <w:r w:rsidR="008A282D" w:rsidRPr="00211D94">
        <w:t xml:space="preserve"> Miasta Gdyni</w:t>
      </w:r>
      <w:r w:rsidR="00C0297B" w:rsidRPr="00211D94">
        <w:t>)</w:t>
      </w:r>
      <w:r w:rsidR="008A282D" w:rsidRPr="00211D94">
        <w:t xml:space="preserve"> dotyczący rozwoju parków naukowo-technologicznych;</w:t>
      </w:r>
    </w:p>
    <w:p w14:paraId="1C9954F4" w14:textId="22576DED" w:rsidR="00543518" w:rsidRPr="00211D94" w:rsidRDefault="00543518" w:rsidP="00F55865">
      <w:pPr>
        <w:numPr>
          <w:ilvl w:val="0"/>
          <w:numId w:val="58"/>
        </w:numPr>
        <w:tabs>
          <w:tab w:val="left" w:pos="432"/>
        </w:tabs>
        <w:spacing w:before="120" w:after="120"/>
        <w:ind w:left="425" w:hanging="425"/>
        <w:rPr>
          <w:rFonts w:cs="Arial"/>
          <w:szCs w:val="24"/>
        </w:rPr>
      </w:pPr>
      <w:r w:rsidRPr="00211D94">
        <w:rPr>
          <w:rFonts w:cs="Arial"/>
          <w:szCs w:val="24"/>
        </w:rPr>
        <w:t xml:space="preserve">2.4.3. </w:t>
      </w:r>
      <w:r w:rsidR="00753794" w:rsidRPr="00211D94">
        <w:rPr>
          <w:rFonts w:cs="Arial"/>
          <w:szCs w:val="24"/>
        </w:rPr>
        <w:t>„</w:t>
      </w:r>
      <w:r w:rsidRPr="00211D94">
        <w:rPr>
          <w:rFonts w:cs="Arial"/>
          <w:szCs w:val="24"/>
        </w:rPr>
        <w:t>Wsparcie Instytucji Otoczenia Biznesu</w:t>
      </w:r>
      <w:r w:rsidR="00753794" w:rsidRPr="00211D94">
        <w:rPr>
          <w:rFonts w:cs="Arial"/>
          <w:szCs w:val="24"/>
        </w:rPr>
        <w:t>”</w:t>
      </w:r>
      <w:r w:rsidR="00361F68" w:rsidRPr="00211D94">
        <w:rPr>
          <w:rFonts w:cs="Arial"/>
          <w:szCs w:val="24"/>
        </w:rPr>
        <w:t xml:space="preserve"> - projekt „Rozwój potencjału PARR S.A. w Słupsku do świadczenia specjalistycznych usług doradczych dla biznesu.”</w:t>
      </w:r>
    </w:p>
    <w:p w14:paraId="5E64524F" w14:textId="5FD11A43" w:rsidR="00B942E1" w:rsidRPr="00211D94" w:rsidRDefault="00F95975" w:rsidP="00F55865">
      <w:pPr>
        <w:tabs>
          <w:tab w:val="left" w:pos="432"/>
        </w:tabs>
        <w:spacing w:before="120" w:after="120"/>
        <w:rPr>
          <w:rFonts w:cs="Arial"/>
          <w:szCs w:val="24"/>
        </w:rPr>
      </w:pPr>
      <w:r w:rsidRPr="00211D94">
        <w:rPr>
          <w:rFonts w:cs="Arial"/>
          <w:szCs w:val="24"/>
        </w:rPr>
        <w:t>Projekt „Invest in Pomerania 2020” zrealizowany w ramach Działania 2.5</w:t>
      </w:r>
      <w:r w:rsidR="002526A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Inwestorzy zewnętrzni</w:t>
      </w:r>
      <w:r w:rsidR="00753794" w:rsidRPr="00211D94">
        <w:rPr>
          <w:rFonts w:cs="Arial"/>
          <w:szCs w:val="24"/>
        </w:rPr>
        <w:t>”</w:t>
      </w:r>
      <w:r w:rsidRPr="00211D94">
        <w:rPr>
          <w:rFonts w:cs="Arial"/>
          <w:szCs w:val="24"/>
        </w:rPr>
        <w:t xml:space="preserve"> (PI 3a) stanowił kontynuację działań realizowanych w ramach poprzedniej perspektywy finansowej. Całkowita wartość projektu wyniosła 29,5 mln EUR przy dofinansowaniu UE 21,7 mln EUR. </w:t>
      </w:r>
      <w:r w:rsidR="009A7C12" w:rsidRPr="00211D94">
        <w:rPr>
          <w:rFonts w:cs="Arial"/>
          <w:szCs w:val="24"/>
        </w:rPr>
        <w:t>C</w:t>
      </w:r>
      <w:r w:rsidRPr="00211D94">
        <w:rPr>
          <w:rFonts w:cs="Arial"/>
          <w:szCs w:val="24"/>
        </w:rPr>
        <w:t xml:space="preserve">elem </w:t>
      </w:r>
      <w:r w:rsidR="009A7C12" w:rsidRPr="00211D94">
        <w:rPr>
          <w:rFonts w:cs="Arial"/>
          <w:szCs w:val="24"/>
        </w:rPr>
        <w:t xml:space="preserve">tego </w:t>
      </w:r>
      <w:r w:rsidRPr="00211D94">
        <w:rPr>
          <w:rFonts w:cs="Arial"/>
          <w:szCs w:val="24"/>
        </w:rPr>
        <w:t>projektu</w:t>
      </w:r>
      <w:r w:rsidR="009A7C12" w:rsidRPr="00211D94">
        <w:rPr>
          <w:rFonts w:cs="Arial"/>
          <w:szCs w:val="24"/>
        </w:rPr>
        <w:t xml:space="preserve"> strategicznego był</w:t>
      </w:r>
      <w:r w:rsidR="008A282D" w:rsidRPr="00211D94">
        <w:rPr>
          <w:rFonts w:cs="Arial"/>
          <w:szCs w:val="24"/>
        </w:rPr>
        <w:t>o</w:t>
      </w:r>
      <w:r w:rsidRPr="00211D94">
        <w:rPr>
          <w:rFonts w:cs="Arial"/>
          <w:szCs w:val="24"/>
        </w:rPr>
        <w:t xml:space="preserve"> </w:t>
      </w:r>
      <w:r w:rsidR="008A282D" w:rsidRPr="00211D94">
        <w:rPr>
          <w:rFonts w:cs="Arial"/>
          <w:szCs w:val="24"/>
        </w:rPr>
        <w:t>u</w:t>
      </w:r>
      <w:r w:rsidR="008A282D" w:rsidRPr="00211D94">
        <w:t>trzymanie i rozbudowa systemu obsługi inwestorów w województwie pomorskim</w:t>
      </w:r>
      <w:r w:rsidR="008A282D" w:rsidRPr="00211D94" w:rsidDel="008A282D">
        <w:rPr>
          <w:rFonts w:cs="Arial"/>
          <w:szCs w:val="24"/>
        </w:rPr>
        <w:t xml:space="preserve"> </w:t>
      </w:r>
      <w:r w:rsidR="00FC1D08" w:rsidRPr="00211D94">
        <w:rPr>
          <w:rFonts w:cs="Arial"/>
          <w:szCs w:val="24"/>
        </w:rPr>
        <w:t>Przedsięwzięcie to zostało podzielone na dwie komplementarne części – jedna w formule projektu grantowego, druga – polegająca na rozdysponowaniu przez IZ RPO WP w trybie konkursowym dotacji na uzbrojenie terenów inwestycyjnych</w:t>
      </w:r>
      <w:r w:rsidR="009A7C12" w:rsidRPr="00211D94">
        <w:rPr>
          <w:rFonts w:cs="Arial"/>
          <w:szCs w:val="24"/>
        </w:rPr>
        <w:t xml:space="preserve"> - tu dofinansowanie otrzymało pięć projektów. Łącznie w ramach Działania 2.5 przygotowana została powierzchnia 70,1 ha terenów inwestycyjnych (127,4% wartości docelowej w Programie).</w:t>
      </w:r>
    </w:p>
    <w:p w14:paraId="62D9B761" w14:textId="55DA80BF" w:rsidR="00C85CCB" w:rsidRPr="00211D94" w:rsidRDefault="002F0F90" w:rsidP="00F55865">
      <w:pPr>
        <w:tabs>
          <w:tab w:val="left" w:pos="432"/>
        </w:tabs>
        <w:spacing w:before="120" w:after="120"/>
        <w:rPr>
          <w:rFonts w:cs="Arial"/>
          <w:szCs w:val="24"/>
        </w:rPr>
      </w:pPr>
      <w:r w:rsidRPr="00211D94">
        <w:t xml:space="preserve">Realizacja projektu w ramach jednego podmiotu umożliwiła efektywne zarządzanie, elastyczne reagowanie na zmiany oraz wykorzystanie doświadczenia zespołu. Wskaźnik „Liczba przedsiębiorstw otrzymujących wsparcie” dla </w:t>
      </w:r>
      <w:r w:rsidR="002526A7" w:rsidRPr="00211D94">
        <w:t>D</w:t>
      </w:r>
      <w:r w:rsidRPr="00211D94">
        <w:t>ziałań 2.4 i 2.5 wyniósł 2 362 szt. (136,5% wartości docelowej).</w:t>
      </w:r>
      <w:r w:rsidRPr="00211D94" w:rsidDel="002F0F90">
        <w:rPr>
          <w:rFonts w:cs="Arial"/>
          <w:szCs w:val="24"/>
        </w:rPr>
        <w:t xml:space="preserve"> </w:t>
      </w:r>
      <w:r w:rsidR="00C85CCB" w:rsidRPr="00211D94">
        <w:rPr>
          <w:rFonts w:cs="Arial"/>
          <w:szCs w:val="24"/>
        </w:rPr>
        <w:t>W ramach PI 3a, łącznie dla Działania 2.4 oraz 2.5 wskaźnik „Liczba przedsiębiorstw otrzymujących wsparcie” osiągnął wartość 2 362 szt. (136,5% wartości docelowej).</w:t>
      </w:r>
    </w:p>
    <w:p w14:paraId="2807C262" w14:textId="0A30C665" w:rsidR="002A4B8D" w:rsidRPr="00211D94" w:rsidRDefault="002A4B8D" w:rsidP="00F55865">
      <w:pPr>
        <w:spacing w:before="120" w:after="120"/>
        <w:rPr>
          <w:rFonts w:cs="Arial"/>
          <w:szCs w:val="24"/>
        </w:rPr>
      </w:pPr>
      <w:r w:rsidRPr="00211D94">
        <w:rPr>
          <w:rFonts w:cs="Arial"/>
          <w:szCs w:val="24"/>
        </w:rPr>
        <w:t>W kontekście wskaźników rezultatu dla OP2 IZ RPO dysponuje aktualnymi danymi za rok 2023</w:t>
      </w:r>
      <w:r w:rsidR="009F18D9" w:rsidRPr="00211D94">
        <w:rPr>
          <w:rFonts w:cs="Arial"/>
          <w:szCs w:val="24"/>
        </w:rPr>
        <w:t xml:space="preserve"> (oraz częściowo za 2022 r.)</w:t>
      </w:r>
      <w:r w:rsidRPr="00211D94">
        <w:rPr>
          <w:rFonts w:cs="Arial"/>
          <w:szCs w:val="24"/>
        </w:rPr>
        <w:t>. Analiza wartości osiągniętych względem celów docelowych przedstawia się następująco:</w:t>
      </w:r>
    </w:p>
    <w:p w14:paraId="4CB8E8EA" w14:textId="77777777" w:rsidR="002A4B8D" w:rsidRPr="00211D94" w:rsidRDefault="002A4B8D" w:rsidP="00F55865">
      <w:pPr>
        <w:pStyle w:val="Akapitzlist"/>
        <w:numPr>
          <w:ilvl w:val="0"/>
          <w:numId w:val="49"/>
        </w:numPr>
        <w:spacing w:before="120" w:after="120" w:line="276" w:lineRule="auto"/>
        <w:rPr>
          <w:rFonts w:cs="Arial"/>
          <w:szCs w:val="24"/>
        </w:rPr>
      </w:pPr>
      <w:r w:rsidRPr="00211D94">
        <w:rPr>
          <w:rFonts w:cs="Arial"/>
          <w:szCs w:val="24"/>
        </w:rPr>
        <w:t>Nakłady inwestycyjne w przedsiębiorstwach w stosunku do PKB osiągnęły poziom 8,6%, przy wartości docelowej 10,0%.</w:t>
      </w:r>
    </w:p>
    <w:p w14:paraId="6CCC4580" w14:textId="27FB2882" w:rsidR="002A4B8D" w:rsidRPr="00211D94" w:rsidRDefault="002A4B8D" w:rsidP="00F55865">
      <w:pPr>
        <w:pStyle w:val="Akapitzlist"/>
        <w:numPr>
          <w:ilvl w:val="0"/>
          <w:numId w:val="49"/>
        </w:numPr>
        <w:spacing w:before="120" w:after="120" w:line="276" w:lineRule="auto"/>
        <w:rPr>
          <w:rFonts w:cs="Arial"/>
          <w:szCs w:val="24"/>
        </w:rPr>
      </w:pPr>
      <w:r w:rsidRPr="00211D94">
        <w:rPr>
          <w:rFonts w:cs="Arial"/>
          <w:szCs w:val="24"/>
        </w:rPr>
        <w:t>Eksport per capita w województwie pomorskim wyniósł 71,9%</w:t>
      </w:r>
      <w:r w:rsidR="009F18D9" w:rsidRPr="00211D94">
        <w:rPr>
          <w:rFonts w:cs="Arial"/>
          <w:szCs w:val="24"/>
        </w:rPr>
        <w:t xml:space="preserve"> wartości dla Polski</w:t>
      </w:r>
      <w:r w:rsidR="000073C9" w:rsidRPr="00211D94">
        <w:rPr>
          <w:rFonts w:cs="Arial"/>
          <w:szCs w:val="24"/>
        </w:rPr>
        <w:t>, przy</w:t>
      </w:r>
      <w:r w:rsidRPr="00211D94">
        <w:rPr>
          <w:rFonts w:cs="Arial"/>
          <w:szCs w:val="24"/>
        </w:rPr>
        <w:t xml:space="preserve"> wartości docelowej (120%).</w:t>
      </w:r>
    </w:p>
    <w:p w14:paraId="7393404D" w14:textId="77777777" w:rsidR="002A4B8D" w:rsidRPr="00211D94" w:rsidRDefault="002A4B8D" w:rsidP="00F55865">
      <w:pPr>
        <w:pStyle w:val="Akapitzlist"/>
        <w:numPr>
          <w:ilvl w:val="0"/>
          <w:numId w:val="49"/>
        </w:numPr>
        <w:spacing w:before="120" w:after="120" w:line="276" w:lineRule="auto"/>
        <w:rPr>
          <w:rFonts w:cs="Arial"/>
          <w:szCs w:val="24"/>
        </w:rPr>
      </w:pPr>
      <w:r w:rsidRPr="00211D94">
        <w:rPr>
          <w:rFonts w:cs="Arial"/>
          <w:szCs w:val="24"/>
        </w:rPr>
        <w:t>Wartość eksportu w regionie osiągnęła 15 908,4 mln EUR, co przewyższa wartość docelową (12 250 mln EUR).</w:t>
      </w:r>
    </w:p>
    <w:p w14:paraId="7316AD1A" w14:textId="4826D24C" w:rsidR="002A4B8D" w:rsidRPr="00211D94" w:rsidRDefault="002A4B8D" w:rsidP="00F55865">
      <w:pPr>
        <w:pStyle w:val="Akapitzlist"/>
        <w:numPr>
          <w:ilvl w:val="0"/>
          <w:numId w:val="49"/>
        </w:numPr>
        <w:spacing w:before="120" w:after="120" w:line="276" w:lineRule="auto"/>
        <w:rPr>
          <w:rFonts w:cs="Arial"/>
          <w:szCs w:val="24"/>
        </w:rPr>
      </w:pPr>
      <w:r w:rsidRPr="00211D94">
        <w:rPr>
          <w:rFonts w:cs="Arial"/>
          <w:szCs w:val="24"/>
        </w:rPr>
        <w:t xml:space="preserve">Wartość brutto środków trwałych firm w województwie pomorskim per capita </w:t>
      </w:r>
      <w:r w:rsidR="000073C9" w:rsidRPr="00211D94">
        <w:rPr>
          <w:rFonts w:cs="Arial"/>
          <w:szCs w:val="24"/>
        </w:rPr>
        <w:t>wyniosła</w:t>
      </w:r>
      <w:r w:rsidRPr="00211D94">
        <w:rPr>
          <w:rFonts w:cs="Arial"/>
          <w:szCs w:val="24"/>
        </w:rPr>
        <w:t xml:space="preserve"> 92,1% </w:t>
      </w:r>
      <w:r w:rsidR="000073C9" w:rsidRPr="00211D94">
        <w:rPr>
          <w:rFonts w:cs="Arial"/>
          <w:szCs w:val="24"/>
        </w:rPr>
        <w:t xml:space="preserve">wartości dla Polski, przy wartości docelowej </w:t>
      </w:r>
      <w:r w:rsidRPr="00211D94">
        <w:rPr>
          <w:rFonts w:cs="Arial"/>
          <w:szCs w:val="24"/>
        </w:rPr>
        <w:t>98,0%.</w:t>
      </w:r>
    </w:p>
    <w:p w14:paraId="47FBA446" w14:textId="68E938B2" w:rsidR="002A4B8D" w:rsidRPr="00211D94" w:rsidRDefault="002A4B8D" w:rsidP="00F55865">
      <w:pPr>
        <w:pStyle w:val="Akapitzlist"/>
        <w:numPr>
          <w:ilvl w:val="0"/>
          <w:numId w:val="49"/>
        </w:numPr>
        <w:spacing w:before="120" w:after="120" w:line="276" w:lineRule="auto"/>
        <w:rPr>
          <w:rFonts w:cs="Arial"/>
          <w:szCs w:val="24"/>
        </w:rPr>
      </w:pPr>
      <w:r w:rsidRPr="00211D94">
        <w:rPr>
          <w:rFonts w:cs="Arial"/>
          <w:szCs w:val="24"/>
        </w:rPr>
        <w:t xml:space="preserve">Średni udział przedsiębiorstw innowacyjnych w ogólnej liczbie przedsiębiorstw przemysłowych i usługowych wyniósł </w:t>
      </w:r>
      <w:r w:rsidR="009F18D9" w:rsidRPr="00211D94">
        <w:rPr>
          <w:rFonts w:cs="Arial"/>
          <w:szCs w:val="24"/>
        </w:rPr>
        <w:t>36,3</w:t>
      </w:r>
      <w:r w:rsidRPr="00211D94">
        <w:rPr>
          <w:rFonts w:cs="Arial"/>
          <w:szCs w:val="24"/>
        </w:rPr>
        <w:t>%</w:t>
      </w:r>
      <w:r w:rsidR="009F18D9" w:rsidRPr="00211D94">
        <w:rPr>
          <w:rFonts w:cs="Arial"/>
          <w:szCs w:val="24"/>
        </w:rPr>
        <w:t xml:space="preserve"> (dane za 2022 r.)</w:t>
      </w:r>
      <w:r w:rsidRPr="00211D94">
        <w:rPr>
          <w:rFonts w:cs="Arial"/>
          <w:szCs w:val="24"/>
        </w:rPr>
        <w:t>, znacząco przekraczając wartość docelową 13,0%.</w:t>
      </w:r>
    </w:p>
    <w:p w14:paraId="447D1001" w14:textId="29EDCD98" w:rsidR="002F0F90" w:rsidRPr="00211D94" w:rsidRDefault="000073C9" w:rsidP="00F55865">
      <w:pPr>
        <w:spacing w:before="120" w:after="120"/>
        <w:rPr>
          <w:rFonts w:cs="Arial"/>
          <w:szCs w:val="24"/>
        </w:rPr>
      </w:pPr>
      <w:r w:rsidRPr="00211D94">
        <w:t>Trzy</w:t>
      </w:r>
      <w:r w:rsidR="002F0F90" w:rsidRPr="00211D94">
        <w:t xml:space="preserve"> wskaźniki – nakłady inwestycyjne</w:t>
      </w:r>
      <w:r w:rsidRPr="00211D94">
        <w:t xml:space="preserve">, </w:t>
      </w:r>
      <w:r w:rsidR="002F0F90" w:rsidRPr="00211D94">
        <w:t>eksport per capita</w:t>
      </w:r>
      <w:r w:rsidRPr="00211D94">
        <w:t xml:space="preserve"> oraz wartość brutto środków trwałych firm w województwie pomorskim per capita</w:t>
      </w:r>
      <w:r w:rsidR="002F0F90" w:rsidRPr="00211D94">
        <w:t xml:space="preserve"> – nie osiągnęły wartości docelowych, głównie z powodu skutków pandemii COVID-19 oraz agresji Rosji na Ukrainę. Zakłócenia w łańcuchach dostaw, wzrost kosztów surowców i energii oraz spadek aktywności inwestycyjnej ograniczyły rozwój części sektorów.</w:t>
      </w:r>
      <w:r w:rsidR="002F0F90" w:rsidRPr="00211D94" w:rsidDel="002F0F90">
        <w:rPr>
          <w:rFonts w:cs="Arial"/>
          <w:szCs w:val="24"/>
        </w:rPr>
        <w:t xml:space="preserve"> </w:t>
      </w:r>
    </w:p>
    <w:p w14:paraId="67810EE2" w14:textId="5CA5FBD8" w:rsidR="002F0F90" w:rsidRPr="00211D94" w:rsidRDefault="002F0F90" w:rsidP="00F55865">
      <w:pPr>
        <w:spacing w:before="120" w:after="120"/>
        <w:rPr>
          <w:rFonts w:cs="Arial"/>
          <w:szCs w:val="24"/>
        </w:rPr>
      </w:pPr>
      <w:r w:rsidRPr="00211D94">
        <w:t>Pozostałe wskaźniki przekroczyły wartości docelowe, co świadczy o wysokiej odporności gospodarki regionu i rosnącej innowacyjności MŚP. Wskaźnik wartości brutto środków trwałych</w:t>
      </w:r>
      <w:r w:rsidR="000073C9" w:rsidRPr="00211D94">
        <w:t>, choć nie osiągnął wartości docelowej,</w:t>
      </w:r>
      <w:r w:rsidRPr="00211D94">
        <w:t xml:space="preserve"> pozostaje blisko celu, wskazując na systematyczne odbudowywanie potencjału inwestycyjnego Pomorza po okresie spowolnienia gospodarczego i niepewności geopolitycznej.</w:t>
      </w:r>
      <w:r w:rsidRPr="00211D94">
        <w:rPr>
          <w:rFonts w:cs="Arial"/>
          <w:szCs w:val="24"/>
        </w:rPr>
        <w:t xml:space="preserve"> </w:t>
      </w:r>
    </w:p>
    <w:p w14:paraId="37C18043" w14:textId="2B7BC115" w:rsidR="007D0568" w:rsidRPr="00211D94" w:rsidRDefault="007D0568" w:rsidP="00F55865">
      <w:pPr>
        <w:pStyle w:val="Nagwek2"/>
        <w:spacing w:before="120" w:after="120"/>
        <w:rPr>
          <w:rFonts w:eastAsia="Calibri" w:cs="Arial"/>
          <w:sz w:val="24"/>
          <w:szCs w:val="24"/>
        </w:rPr>
      </w:pPr>
      <w:bookmarkStart w:id="129" w:name="_Toc9418240"/>
      <w:bookmarkStart w:id="130" w:name="_Toc214025283"/>
      <w:r w:rsidRPr="00211D94">
        <w:rPr>
          <w:rFonts w:eastAsia="Calibri" w:cs="Arial"/>
          <w:sz w:val="24"/>
          <w:szCs w:val="24"/>
        </w:rPr>
        <w:t>OP3</w:t>
      </w:r>
      <w:r w:rsidR="00D108E9" w:rsidRPr="00211D94">
        <w:rPr>
          <w:rFonts w:eastAsia="Calibri" w:cs="Arial"/>
          <w:sz w:val="24"/>
          <w:szCs w:val="24"/>
        </w:rPr>
        <w:t>.</w:t>
      </w:r>
      <w:r w:rsidRPr="00211D94">
        <w:rPr>
          <w:rFonts w:eastAsia="Calibri" w:cs="Arial"/>
          <w:sz w:val="24"/>
          <w:szCs w:val="24"/>
        </w:rPr>
        <w:t xml:space="preserve"> EDUKACJA</w:t>
      </w:r>
      <w:bookmarkEnd w:id="120"/>
      <w:bookmarkEnd w:id="121"/>
      <w:bookmarkEnd w:id="122"/>
      <w:bookmarkEnd w:id="123"/>
      <w:bookmarkEnd w:id="124"/>
      <w:bookmarkEnd w:id="129"/>
      <w:bookmarkEnd w:id="130"/>
    </w:p>
    <w:tbl>
      <w:tblPr>
        <w:tblW w:w="0" w:type="auto"/>
        <w:tblLook w:val="04A0" w:firstRow="1" w:lastRow="0" w:firstColumn="1" w:lastColumn="0" w:noHBand="0" w:noVBand="1"/>
      </w:tblPr>
      <w:tblGrid>
        <w:gridCol w:w="1394"/>
        <w:gridCol w:w="7678"/>
      </w:tblGrid>
      <w:tr w:rsidR="007D0568" w:rsidRPr="00211D94" w14:paraId="4B3A3C80" w14:textId="77777777" w:rsidTr="007D0568">
        <w:tc>
          <w:tcPr>
            <w:tcW w:w="1394" w:type="dxa"/>
            <w:shd w:val="clear" w:color="auto" w:fill="auto"/>
          </w:tcPr>
          <w:p w14:paraId="15625412" w14:textId="0AF4B9E4" w:rsidR="007D0568" w:rsidRPr="00211D94" w:rsidRDefault="007D0568" w:rsidP="00F55865">
            <w:pPr>
              <w:spacing w:before="120" w:after="120"/>
              <w:rPr>
                <w:rFonts w:cs="Arial"/>
                <w:b/>
                <w:szCs w:val="24"/>
              </w:rPr>
            </w:pPr>
            <w:r w:rsidRPr="00211D94">
              <w:rPr>
                <w:rFonts w:cs="Arial"/>
                <w:b/>
                <w:noProof/>
                <w:szCs w:val="24"/>
                <w:lang w:eastAsia="pl-PL"/>
              </w:rPr>
              <w:drawing>
                <wp:inline distT="0" distB="0" distL="0" distR="0" wp14:anchorId="15E65FB1" wp14:editId="2D800969">
                  <wp:extent cx="748030" cy="795655"/>
                  <wp:effectExtent l="0" t="0" r="0" b="4445"/>
                  <wp:docPr id="26" name="Obraz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8030" cy="795655"/>
                          </a:xfrm>
                          <a:prstGeom prst="rect">
                            <a:avLst/>
                          </a:prstGeom>
                          <a:noFill/>
                          <a:ln>
                            <a:noFill/>
                          </a:ln>
                        </pic:spPr>
                      </pic:pic>
                    </a:graphicData>
                  </a:graphic>
                </wp:inline>
              </w:drawing>
            </w:r>
          </w:p>
        </w:tc>
        <w:tc>
          <w:tcPr>
            <w:tcW w:w="7678" w:type="dxa"/>
            <w:shd w:val="clear" w:color="auto" w:fill="auto"/>
          </w:tcPr>
          <w:p w14:paraId="7840062F" w14:textId="3DE759D6" w:rsidR="007D0568" w:rsidRPr="00211D94" w:rsidRDefault="007D0568" w:rsidP="00F55865">
            <w:pPr>
              <w:spacing w:before="120" w:after="120"/>
              <w:rPr>
                <w:rFonts w:cs="Arial"/>
                <w:b/>
                <w:szCs w:val="24"/>
              </w:rPr>
            </w:pPr>
            <w:r w:rsidRPr="00211D94">
              <w:rPr>
                <w:rFonts w:cs="Arial"/>
                <w:szCs w:val="24"/>
              </w:rPr>
              <w:t>OP3 odpowiada</w:t>
            </w:r>
            <w:r w:rsidR="000073C9" w:rsidRPr="00211D94">
              <w:rPr>
                <w:rFonts w:cs="Arial"/>
                <w:szCs w:val="24"/>
              </w:rPr>
              <w:t>ła</w:t>
            </w:r>
            <w:r w:rsidRPr="00211D94">
              <w:rPr>
                <w:rFonts w:cs="Arial"/>
                <w:szCs w:val="24"/>
              </w:rPr>
              <w:t xml:space="preserve"> na wyzwania dotyczące poprawy jakości kształcenia i ograniczania dysproporcji w dostępie do usług edukacyjnych na wszystkich etapach, z uwzględnieniem sytuacji na rynku pracy poprzez ukierunkowanie wsparcia na przedsięwzięcia skupiające się na jakości i tworzeniu trwałych miejsc w edukacji przedszkolnej, jakości edukacji ogólnej oraz kształcenia zawodowego.</w:t>
            </w:r>
          </w:p>
        </w:tc>
      </w:tr>
    </w:tbl>
    <w:p w14:paraId="0B86EC89"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3AEFABE0" w14:textId="77777777" w:rsidR="00342137" w:rsidRPr="00211D94" w:rsidRDefault="00342137" w:rsidP="00342137">
      <w:pPr>
        <w:tabs>
          <w:tab w:val="left" w:pos="432"/>
        </w:tabs>
        <w:spacing w:before="120" w:after="0"/>
        <w:rPr>
          <w:rFonts w:cs="Arial"/>
          <w:szCs w:val="24"/>
        </w:rPr>
      </w:pPr>
      <w:r w:rsidRPr="00211D94">
        <w:rPr>
          <w:rFonts w:cs="Arial"/>
          <w:szCs w:val="24"/>
        </w:rPr>
        <w:t xml:space="preserve">Wsparcie realizowane w ramach tej OP cieszyło się dużym zainteresowaniem i jej wdrażanie przebiegało bardzo sprawnie. Znalazło to swoje odzwierciedlenie </w:t>
      </w:r>
      <w:r w:rsidRPr="00211D94">
        <w:rPr>
          <w:rFonts w:cs="Arial"/>
          <w:szCs w:val="24"/>
        </w:rPr>
        <w:br/>
        <w:t>w postępie rzeczowym i finansowym, a tym samym w stopniu realizacji celów pośrednich i końcowych.</w:t>
      </w:r>
    </w:p>
    <w:p w14:paraId="17A17563" w14:textId="1167CDD4" w:rsidR="00342137" w:rsidRPr="00211D94" w:rsidRDefault="00342137" w:rsidP="00342137">
      <w:pPr>
        <w:tabs>
          <w:tab w:val="left" w:pos="432"/>
        </w:tabs>
        <w:spacing w:before="120" w:after="0"/>
        <w:rPr>
          <w:rFonts w:cs="Arial"/>
          <w:szCs w:val="24"/>
        </w:rPr>
      </w:pPr>
      <w:r w:rsidRPr="00211D94">
        <w:rPr>
          <w:rFonts w:cs="Arial"/>
          <w:szCs w:val="24"/>
        </w:rPr>
        <w:t>W ramach OP3</w:t>
      </w:r>
      <w:r w:rsidR="002526A7" w:rsidRPr="00211D94">
        <w:rPr>
          <w:rFonts w:cs="Arial"/>
          <w:szCs w:val="24"/>
        </w:rPr>
        <w:t>.</w:t>
      </w:r>
      <w:r w:rsidRPr="00211D94">
        <w:rPr>
          <w:rFonts w:cs="Arial"/>
          <w:szCs w:val="24"/>
        </w:rPr>
        <w:t xml:space="preserve"> </w:t>
      </w:r>
      <w:r w:rsidR="00753794" w:rsidRPr="00211D94">
        <w:rPr>
          <w:rFonts w:cs="Arial"/>
          <w:szCs w:val="24"/>
        </w:rPr>
        <w:t>„</w:t>
      </w:r>
      <w:r w:rsidRPr="00211D94">
        <w:rPr>
          <w:rFonts w:cs="Arial"/>
          <w:szCs w:val="24"/>
        </w:rPr>
        <w:t>Edukacja</w:t>
      </w:r>
      <w:r w:rsidR="00753794" w:rsidRPr="00211D94">
        <w:rPr>
          <w:rFonts w:cs="Arial"/>
          <w:szCs w:val="24"/>
        </w:rPr>
        <w:t>”</w:t>
      </w:r>
      <w:r w:rsidRPr="00211D94">
        <w:rPr>
          <w:rFonts w:cs="Arial"/>
          <w:szCs w:val="24"/>
        </w:rPr>
        <w:t xml:space="preserve"> zawarto </w:t>
      </w:r>
      <w:r w:rsidRPr="00211D94">
        <w:rPr>
          <w:rFonts w:cs="Arial"/>
          <w:b/>
          <w:szCs w:val="24"/>
        </w:rPr>
        <w:t>377</w:t>
      </w:r>
      <w:r w:rsidRPr="00211D94">
        <w:rPr>
          <w:rFonts w:cs="Arial"/>
          <w:szCs w:val="24"/>
        </w:rPr>
        <w:t xml:space="preserve"> umów na kwotę </w:t>
      </w:r>
      <w:r w:rsidRPr="00211D94">
        <w:rPr>
          <w:rFonts w:cs="Arial"/>
          <w:b/>
          <w:szCs w:val="24"/>
        </w:rPr>
        <w:t>170 348 000 EUR</w:t>
      </w:r>
      <w:r w:rsidRPr="00211D94">
        <w:rPr>
          <w:rFonts w:cs="Arial"/>
          <w:szCs w:val="24"/>
        </w:rPr>
        <w:t xml:space="preserve">, w tym dofinansowanie UE </w:t>
      </w:r>
      <w:r w:rsidRPr="00211D94">
        <w:rPr>
          <w:rFonts w:cs="Arial"/>
          <w:b/>
          <w:szCs w:val="24"/>
        </w:rPr>
        <w:t>144 795 800 EUR</w:t>
      </w:r>
      <w:r w:rsidRPr="00211D94">
        <w:rPr>
          <w:rFonts w:cs="Arial"/>
          <w:szCs w:val="24"/>
        </w:rPr>
        <w:t xml:space="preserve">. Tym samym kontraktacja w tej Osi została osiągnięta na </w:t>
      </w:r>
      <w:r w:rsidRPr="00211D94">
        <w:rPr>
          <w:rFonts w:cs="Arial"/>
          <w:b/>
          <w:szCs w:val="24"/>
        </w:rPr>
        <w:t>105,6%</w:t>
      </w:r>
      <w:r w:rsidRPr="00211D94">
        <w:rPr>
          <w:rFonts w:cs="Arial"/>
          <w:szCs w:val="24"/>
        </w:rPr>
        <w:t xml:space="preserve"> alokacji na realizację OP3.</w:t>
      </w:r>
    </w:p>
    <w:p w14:paraId="2821159B" w14:textId="77777777" w:rsidR="00342137" w:rsidRPr="00211D94" w:rsidRDefault="00342137" w:rsidP="00342137">
      <w:pPr>
        <w:tabs>
          <w:tab w:val="left" w:pos="432"/>
        </w:tabs>
        <w:spacing w:before="120" w:after="0"/>
        <w:rPr>
          <w:rFonts w:cs="Arial"/>
          <w:b/>
          <w:szCs w:val="24"/>
        </w:rPr>
      </w:pPr>
      <w:r w:rsidRPr="00211D94">
        <w:rPr>
          <w:rFonts w:cs="Arial"/>
          <w:szCs w:val="24"/>
        </w:rPr>
        <w:t>W ramach złożonych przez beneficjentów wniosków o płatność uznano za kwalifikowalne</w:t>
      </w:r>
      <w:r w:rsidRPr="00211D94" w:rsidDel="009E6430">
        <w:rPr>
          <w:rFonts w:cs="Arial"/>
          <w:szCs w:val="24"/>
        </w:rPr>
        <w:t xml:space="preserve"> </w:t>
      </w:r>
      <w:r w:rsidRPr="00211D94">
        <w:rPr>
          <w:rFonts w:cs="Arial"/>
          <w:szCs w:val="24"/>
        </w:rPr>
        <w:t xml:space="preserve">wydatki na kwotę </w:t>
      </w:r>
      <w:r w:rsidRPr="00211D94">
        <w:rPr>
          <w:rFonts w:cs="Arial"/>
          <w:b/>
          <w:szCs w:val="24"/>
        </w:rPr>
        <w:t>162 986 096 EUR</w:t>
      </w:r>
      <w:r w:rsidRPr="00211D94">
        <w:rPr>
          <w:rFonts w:cs="Arial"/>
          <w:szCs w:val="24"/>
        </w:rPr>
        <w:t xml:space="preserve">, w tym </w:t>
      </w:r>
      <w:r w:rsidRPr="00211D94">
        <w:rPr>
          <w:rFonts w:cs="Arial"/>
          <w:b/>
          <w:szCs w:val="24"/>
        </w:rPr>
        <w:t>138 537 559 EUR</w:t>
      </w:r>
      <w:r w:rsidRPr="00211D94">
        <w:rPr>
          <w:rFonts w:cs="Arial"/>
          <w:szCs w:val="24"/>
        </w:rPr>
        <w:t xml:space="preserve"> dofinansowania UE, co stanowi </w:t>
      </w:r>
      <w:r w:rsidRPr="00211D94">
        <w:rPr>
          <w:rFonts w:cs="Arial"/>
          <w:b/>
          <w:szCs w:val="24"/>
        </w:rPr>
        <w:t xml:space="preserve">101,1% </w:t>
      </w:r>
      <w:r w:rsidRPr="00211D94">
        <w:rPr>
          <w:rFonts w:cs="Arial"/>
          <w:szCs w:val="24"/>
        </w:rPr>
        <w:t xml:space="preserve">przeznaczonej na OP3 alokacji. </w:t>
      </w:r>
    </w:p>
    <w:p w14:paraId="1846AF75" w14:textId="77777777" w:rsidR="00342137" w:rsidRPr="00211D94" w:rsidRDefault="00342137" w:rsidP="00342137">
      <w:pPr>
        <w:tabs>
          <w:tab w:val="left" w:pos="432"/>
        </w:tabs>
        <w:spacing w:before="120" w:after="0"/>
        <w:rPr>
          <w:rFonts w:cs="Arial"/>
          <w:szCs w:val="24"/>
        </w:rPr>
      </w:pPr>
      <w:r w:rsidRPr="00211D94">
        <w:rPr>
          <w:rFonts w:cs="Arial"/>
          <w:szCs w:val="24"/>
        </w:rPr>
        <w:t>Pod względem statusu na rynku pracy najwięcej osób objęto wsparciem w grupie osób biernych zawodowo (226 938 osób), najmniej osób bezrobotnych (153 osoby), co jest związane ze specyfiką udzielanego wsparcia oraz wynikającej z tego grupy docelowej.</w:t>
      </w:r>
    </w:p>
    <w:p w14:paraId="6AC5CE4E" w14:textId="77777777" w:rsidR="00342137" w:rsidRPr="00211D94" w:rsidRDefault="00342137" w:rsidP="00342137">
      <w:pPr>
        <w:tabs>
          <w:tab w:val="left" w:pos="432"/>
        </w:tabs>
        <w:spacing w:before="120" w:after="0"/>
        <w:rPr>
          <w:rFonts w:cs="Arial"/>
          <w:szCs w:val="24"/>
        </w:rPr>
      </w:pPr>
      <w:r w:rsidRPr="00211D94">
        <w:rPr>
          <w:rFonts w:cs="Arial"/>
          <w:szCs w:val="24"/>
        </w:rPr>
        <w:t xml:space="preserve">Ponadto w ramach projektów objęto wsparciem 6 323 uczestników </w:t>
      </w:r>
      <w:r w:rsidRPr="00211D94">
        <w:rPr>
          <w:rFonts w:cs="Arial"/>
          <w:szCs w:val="24"/>
        </w:rPr>
        <w:br/>
        <w:t>z niepełnosprawnościami, a 125 444 osoby pochodziły z obszarów wiejskich.</w:t>
      </w:r>
    </w:p>
    <w:p w14:paraId="41886605" w14:textId="20053780" w:rsidR="00342137" w:rsidRPr="00211D94" w:rsidRDefault="00342137" w:rsidP="00342137">
      <w:pPr>
        <w:tabs>
          <w:tab w:val="left" w:pos="432"/>
        </w:tabs>
        <w:spacing w:before="120" w:after="0"/>
        <w:rPr>
          <w:rFonts w:cs="Arial"/>
          <w:szCs w:val="24"/>
        </w:rPr>
      </w:pPr>
      <w:r w:rsidRPr="00211D94">
        <w:rPr>
          <w:rFonts w:cs="Arial"/>
          <w:szCs w:val="24"/>
        </w:rPr>
        <w:t>Całkowita liczba uczestnikó</w:t>
      </w:r>
      <w:r w:rsidR="00C0297B" w:rsidRPr="00211D94">
        <w:rPr>
          <w:rFonts w:cs="Arial"/>
          <w:szCs w:val="24"/>
        </w:rPr>
        <w:t>w</w:t>
      </w:r>
      <w:r w:rsidR="00C0297B" w:rsidRPr="00211D94">
        <w:rPr>
          <w:b/>
        </w:rPr>
        <w:t xml:space="preserve"> </w:t>
      </w:r>
      <w:r w:rsidR="00C0297B" w:rsidRPr="00211D94">
        <w:t>projektów finansowanych w ramach</w:t>
      </w:r>
      <w:r w:rsidR="00C0297B" w:rsidRPr="00211D94">
        <w:rPr>
          <w:b/>
        </w:rPr>
        <w:t xml:space="preserve"> </w:t>
      </w:r>
      <w:r w:rsidRPr="00211D94">
        <w:rPr>
          <w:rFonts w:cs="Arial"/>
          <w:szCs w:val="24"/>
        </w:rPr>
        <w:t>OP3 wynosi 247</w:t>
      </w:r>
      <w:r w:rsidR="00C0297B" w:rsidRPr="00211D94">
        <w:rPr>
          <w:rFonts w:cs="Arial"/>
          <w:szCs w:val="24"/>
        </w:rPr>
        <w:t> </w:t>
      </w:r>
      <w:r w:rsidRPr="00211D94">
        <w:rPr>
          <w:rFonts w:cs="Arial"/>
          <w:szCs w:val="24"/>
        </w:rPr>
        <w:t>668 osób.</w:t>
      </w:r>
    </w:p>
    <w:p w14:paraId="28BEA602" w14:textId="77777777" w:rsidR="00342137" w:rsidRPr="00211D94" w:rsidRDefault="00342137" w:rsidP="00342137">
      <w:pPr>
        <w:tabs>
          <w:tab w:val="left" w:pos="432"/>
        </w:tabs>
        <w:spacing w:before="120" w:after="0"/>
        <w:rPr>
          <w:rFonts w:cs="Arial"/>
          <w:szCs w:val="24"/>
        </w:rPr>
      </w:pPr>
      <w:r w:rsidRPr="00211D94">
        <w:rPr>
          <w:rFonts w:cs="Arial"/>
          <w:szCs w:val="24"/>
        </w:rPr>
        <w:t>Liczba uczestników w podziale na Działania przedstawia się następująco:</w:t>
      </w:r>
    </w:p>
    <w:p w14:paraId="34F36C8D" w14:textId="431AF240" w:rsidR="00342137" w:rsidRPr="00211D94" w:rsidRDefault="00342137" w:rsidP="00342137">
      <w:pPr>
        <w:numPr>
          <w:ilvl w:val="0"/>
          <w:numId w:val="14"/>
        </w:numPr>
        <w:tabs>
          <w:tab w:val="left" w:pos="432"/>
        </w:tabs>
        <w:spacing w:before="120" w:after="0"/>
        <w:contextualSpacing/>
        <w:rPr>
          <w:rFonts w:cs="Arial"/>
          <w:szCs w:val="24"/>
        </w:rPr>
      </w:pPr>
      <w:r w:rsidRPr="00211D94">
        <w:rPr>
          <w:rFonts w:cs="Arial"/>
          <w:szCs w:val="24"/>
        </w:rPr>
        <w:t xml:space="preserve">Działanie 3.1. </w:t>
      </w:r>
      <w:r w:rsidR="00753794" w:rsidRPr="00211D94">
        <w:rPr>
          <w:rFonts w:cs="Arial"/>
          <w:szCs w:val="24"/>
        </w:rPr>
        <w:t>„</w:t>
      </w:r>
      <w:r w:rsidRPr="00211D94">
        <w:rPr>
          <w:rFonts w:cs="Arial"/>
          <w:szCs w:val="24"/>
        </w:rPr>
        <w:t>Edukacja przedszkolna</w:t>
      </w:r>
      <w:r w:rsidR="00753794" w:rsidRPr="00211D94">
        <w:rPr>
          <w:rFonts w:cs="Arial"/>
          <w:szCs w:val="24"/>
        </w:rPr>
        <w:t>”</w:t>
      </w:r>
      <w:r w:rsidRPr="00211D94">
        <w:rPr>
          <w:rFonts w:cs="Arial"/>
          <w:szCs w:val="24"/>
        </w:rPr>
        <w:t xml:space="preserve"> (PI 10i) – 43 101</w:t>
      </w:r>
    </w:p>
    <w:p w14:paraId="79981E2F" w14:textId="596BBA5E" w:rsidR="00342137" w:rsidRPr="00211D94" w:rsidRDefault="00342137" w:rsidP="00342137">
      <w:pPr>
        <w:numPr>
          <w:ilvl w:val="0"/>
          <w:numId w:val="14"/>
        </w:numPr>
        <w:tabs>
          <w:tab w:val="left" w:pos="432"/>
        </w:tabs>
        <w:spacing w:before="120" w:after="0"/>
        <w:contextualSpacing/>
        <w:rPr>
          <w:rFonts w:cs="Arial"/>
          <w:szCs w:val="24"/>
        </w:rPr>
      </w:pPr>
      <w:r w:rsidRPr="00211D94">
        <w:rPr>
          <w:rFonts w:cs="Arial"/>
          <w:szCs w:val="24"/>
        </w:rPr>
        <w:t xml:space="preserve">Działania 3.2. </w:t>
      </w:r>
      <w:r w:rsidR="00753794" w:rsidRPr="00211D94">
        <w:rPr>
          <w:rFonts w:cs="Arial"/>
          <w:szCs w:val="24"/>
        </w:rPr>
        <w:t>„</w:t>
      </w:r>
      <w:r w:rsidRPr="00211D94">
        <w:rPr>
          <w:rFonts w:cs="Arial"/>
          <w:szCs w:val="24"/>
        </w:rPr>
        <w:t>Edukacja ogólna</w:t>
      </w:r>
      <w:r w:rsidR="00753794" w:rsidRPr="00211D94">
        <w:rPr>
          <w:rFonts w:cs="Arial"/>
          <w:szCs w:val="24"/>
        </w:rPr>
        <w:t>”</w:t>
      </w:r>
      <w:r w:rsidRPr="00211D94">
        <w:rPr>
          <w:rFonts w:cs="Arial"/>
          <w:szCs w:val="24"/>
        </w:rPr>
        <w:t xml:space="preserve"> (PI 10i) – 162 456</w:t>
      </w:r>
    </w:p>
    <w:p w14:paraId="5BCADD6B" w14:textId="27EE231C" w:rsidR="00342137" w:rsidRPr="00211D94" w:rsidRDefault="00342137" w:rsidP="00342137">
      <w:pPr>
        <w:numPr>
          <w:ilvl w:val="0"/>
          <w:numId w:val="14"/>
        </w:numPr>
        <w:tabs>
          <w:tab w:val="left" w:pos="432"/>
        </w:tabs>
        <w:spacing w:before="120" w:after="0"/>
        <w:contextualSpacing/>
        <w:rPr>
          <w:rFonts w:cs="Arial"/>
          <w:szCs w:val="24"/>
        </w:rPr>
      </w:pPr>
      <w:r w:rsidRPr="00211D94">
        <w:rPr>
          <w:rFonts w:cs="Arial"/>
          <w:szCs w:val="24"/>
        </w:rPr>
        <w:t xml:space="preserve">Działania 3.3. </w:t>
      </w:r>
      <w:r w:rsidR="00753794" w:rsidRPr="00211D94">
        <w:rPr>
          <w:rFonts w:cs="Arial"/>
          <w:szCs w:val="24"/>
        </w:rPr>
        <w:t>„</w:t>
      </w:r>
      <w:r w:rsidRPr="00211D94">
        <w:rPr>
          <w:rFonts w:cs="Arial"/>
          <w:szCs w:val="24"/>
        </w:rPr>
        <w:t>Edukacja zawodowa</w:t>
      </w:r>
      <w:r w:rsidR="00753794" w:rsidRPr="00211D94">
        <w:rPr>
          <w:rFonts w:cs="Arial"/>
          <w:szCs w:val="24"/>
        </w:rPr>
        <w:t>”</w:t>
      </w:r>
      <w:r w:rsidRPr="00211D94">
        <w:rPr>
          <w:rFonts w:cs="Arial"/>
          <w:szCs w:val="24"/>
        </w:rPr>
        <w:t xml:space="preserve"> (PI 10iv) – 42 111</w:t>
      </w:r>
    </w:p>
    <w:p w14:paraId="109D44E4" w14:textId="3361051F" w:rsidR="00342137" w:rsidRPr="00211D94" w:rsidRDefault="00342137" w:rsidP="00342137">
      <w:pPr>
        <w:tabs>
          <w:tab w:val="left" w:pos="432"/>
        </w:tabs>
        <w:spacing w:before="120" w:after="0"/>
        <w:rPr>
          <w:rFonts w:cs="Arial"/>
          <w:szCs w:val="24"/>
        </w:rPr>
      </w:pPr>
      <w:r w:rsidRPr="00211D94">
        <w:rPr>
          <w:rFonts w:cs="Arial"/>
          <w:szCs w:val="24"/>
        </w:rPr>
        <w:t xml:space="preserve">W przypadku specyficznych dla Programu wskaźników produktu (zgodnie z Tabelą 4B) realizacja każdego wskaźnika dla PI 10i oraz 10iv znacznie przekracza 100% wartości docelowej na 2023 r. Dla Działania 3.3. </w:t>
      </w:r>
      <w:r w:rsidR="00753794" w:rsidRPr="00211D94">
        <w:rPr>
          <w:rFonts w:cs="Arial"/>
          <w:szCs w:val="24"/>
        </w:rPr>
        <w:t>„</w:t>
      </w:r>
      <w:r w:rsidRPr="00211D94">
        <w:rPr>
          <w:rFonts w:cs="Arial"/>
          <w:szCs w:val="24"/>
        </w:rPr>
        <w:t>Edukacja zawodowa</w:t>
      </w:r>
      <w:r w:rsidR="00753794" w:rsidRPr="00211D94">
        <w:rPr>
          <w:rFonts w:cs="Arial"/>
          <w:szCs w:val="24"/>
        </w:rPr>
        <w:t>”</w:t>
      </w:r>
      <w:r w:rsidRPr="00211D94">
        <w:rPr>
          <w:rFonts w:cs="Arial"/>
          <w:szCs w:val="24"/>
        </w:rPr>
        <w:t xml:space="preserve"> (PI 10iv) w największym stopniu został zrealizowany wskaźnik </w:t>
      </w:r>
      <w:r w:rsidR="00753794" w:rsidRPr="00211D94">
        <w:rPr>
          <w:rFonts w:cs="Arial"/>
          <w:szCs w:val="24"/>
        </w:rPr>
        <w:t>„</w:t>
      </w:r>
      <w:r w:rsidRPr="00211D94">
        <w:rPr>
          <w:rFonts w:cs="Arial"/>
          <w:szCs w:val="24"/>
        </w:rPr>
        <w:t>Liczba nauczycieli kształcenia zawodowego oraz instruktorów praktycznej nauki zawodu objętych wsparciem w Programie</w:t>
      </w:r>
      <w:r w:rsidR="00753794" w:rsidRPr="00211D94">
        <w:rPr>
          <w:rFonts w:cs="Arial"/>
          <w:szCs w:val="24"/>
        </w:rPr>
        <w:t>”</w:t>
      </w:r>
      <w:r w:rsidRPr="00211D94">
        <w:rPr>
          <w:rFonts w:cs="Arial"/>
          <w:szCs w:val="24"/>
        </w:rPr>
        <w:t xml:space="preserve"> – 183,6%</w:t>
      </w:r>
      <w:r w:rsidR="009350B6" w:rsidRPr="00211D94">
        <w:rPr>
          <w:rFonts w:cs="Arial"/>
          <w:szCs w:val="24"/>
        </w:rPr>
        <w:t>, co oznacza, że potrzeby edukacyjne w województwie zostały niedoszacowane i są większe niż zaplanowano.</w:t>
      </w:r>
      <w:r w:rsidRPr="00211D94">
        <w:rPr>
          <w:rFonts w:cs="Arial"/>
          <w:szCs w:val="24"/>
        </w:rPr>
        <w:t xml:space="preserve"> </w:t>
      </w:r>
    </w:p>
    <w:p w14:paraId="7C688B55" w14:textId="77777777" w:rsidR="00342137" w:rsidRPr="00211D94" w:rsidRDefault="00342137" w:rsidP="00342137">
      <w:pPr>
        <w:tabs>
          <w:tab w:val="left" w:pos="432"/>
        </w:tabs>
        <w:spacing w:before="120" w:after="0"/>
        <w:rPr>
          <w:rFonts w:cs="Arial"/>
          <w:szCs w:val="24"/>
        </w:rPr>
      </w:pPr>
      <w:r w:rsidRPr="00211D94">
        <w:rPr>
          <w:rFonts w:cs="Arial"/>
          <w:szCs w:val="24"/>
        </w:rPr>
        <w:t>Zgodnie z Tabelą 2C dla OP3 zostały osiągnięte następujące wskaźniki rezultatu specyficzne dla Programu:</w:t>
      </w:r>
    </w:p>
    <w:p w14:paraId="51B63809" w14:textId="3BACB855" w:rsidR="00342137" w:rsidRPr="00211D94" w:rsidRDefault="00753794" w:rsidP="00342137">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uczniów, którzy nabyli kompetencje kluczowe po opuszczeniu Programu</w:t>
      </w:r>
      <w:r w:rsidRPr="00211D94">
        <w:rPr>
          <w:rFonts w:cs="Arial"/>
          <w:szCs w:val="24"/>
        </w:rPr>
        <w:t>”</w:t>
      </w:r>
      <w:r w:rsidR="00342137" w:rsidRPr="00211D94">
        <w:rPr>
          <w:rFonts w:cs="Arial"/>
          <w:szCs w:val="24"/>
        </w:rPr>
        <w:t xml:space="preserve"> – 170 467, osiągnięto 92,06% celu;</w:t>
      </w:r>
    </w:p>
    <w:p w14:paraId="56908A5C" w14:textId="660795B7" w:rsidR="00342137" w:rsidRPr="00211D94" w:rsidRDefault="00753794" w:rsidP="009350B6">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nauczycieli, którzy uzyskali kwalifikacje lub nabyli kompetencje po opuszczeniu Programu</w:t>
      </w:r>
      <w:r w:rsidRPr="00211D94">
        <w:rPr>
          <w:rFonts w:cs="Arial"/>
          <w:szCs w:val="24"/>
        </w:rPr>
        <w:t>”</w:t>
      </w:r>
      <w:r w:rsidR="00342137" w:rsidRPr="00211D94">
        <w:rPr>
          <w:rFonts w:cs="Arial"/>
          <w:szCs w:val="24"/>
        </w:rPr>
        <w:t xml:space="preserve"> – 18 262, osiągnięto 180,45% celu</w:t>
      </w:r>
      <w:r w:rsidR="009350B6" w:rsidRPr="00211D94">
        <w:rPr>
          <w:rFonts w:cs="Arial"/>
          <w:szCs w:val="24"/>
        </w:rPr>
        <w:t>, co spowodowane było wartością wskaźnika produktu Liczba nauczycieli objętych wsparciem, która została przekroczona o 22,8%, a także niedoszacowaniem wartości docelowej, ponieważ w Programie założono, że jedynie 70% nauczyciel uzyska kwalifikacje, a uzyskało ich 98%, co można uznać za sukces;</w:t>
      </w:r>
    </w:p>
    <w:p w14:paraId="0218C424" w14:textId="6F33DC8A" w:rsidR="00342137" w:rsidRPr="00211D94" w:rsidRDefault="00753794" w:rsidP="00342137">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szkół i placówek systemu oświaty wykorzystujących sprzęt TIK do prowadzenia zajęć edukacyjnych</w:t>
      </w:r>
      <w:r w:rsidRPr="00211D94">
        <w:rPr>
          <w:rFonts w:cs="Arial"/>
          <w:szCs w:val="24"/>
        </w:rPr>
        <w:t>”</w:t>
      </w:r>
      <w:r w:rsidR="00342137" w:rsidRPr="00211D94">
        <w:rPr>
          <w:rFonts w:cs="Arial"/>
          <w:szCs w:val="24"/>
        </w:rPr>
        <w:t xml:space="preserve"> – 798, osiągnięto 99,5% celu;</w:t>
      </w:r>
    </w:p>
    <w:p w14:paraId="0B294EF5" w14:textId="00C7528A" w:rsidR="00342137" w:rsidRPr="00211D94" w:rsidRDefault="00753794" w:rsidP="00342137">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szkół, w których pracownie przedmiotowe wykorzystują doposażenie do prowadzenia zajęć edukacyjnych</w:t>
      </w:r>
      <w:r w:rsidRPr="00211D94">
        <w:rPr>
          <w:rFonts w:cs="Arial"/>
          <w:szCs w:val="24"/>
        </w:rPr>
        <w:t>”</w:t>
      </w:r>
      <w:r w:rsidR="00342137" w:rsidRPr="00211D94">
        <w:rPr>
          <w:rFonts w:cs="Arial"/>
          <w:szCs w:val="24"/>
        </w:rPr>
        <w:t xml:space="preserve"> – 631, osiągnięto 98,13% celu;</w:t>
      </w:r>
    </w:p>
    <w:p w14:paraId="4AC6B11F" w14:textId="61A76846" w:rsidR="00342137" w:rsidRPr="00211D94" w:rsidRDefault="00753794" w:rsidP="00342137">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nauczycieli kształcenia zawodowego oraz instruktorów praktycznej nauki zawodu, którzy uzyskali kwalifikacje lub nabyli kompetencje po opuszczeniu Programu</w:t>
      </w:r>
      <w:r w:rsidRPr="00211D94">
        <w:rPr>
          <w:rFonts w:cs="Arial"/>
          <w:szCs w:val="24"/>
        </w:rPr>
        <w:t>”</w:t>
      </w:r>
      <w:r w:rsidR="00342137" w:rsidRPr="00211D94">
        <w:rPr>
          <w:rFonts w:cs="Arial"/>
          <w:szCs w:val="24"/>
        </w:rPr>
        <w:t xml:space="preserve"> – 1 283, osiągnięto 99,84% celu;</w:t>
      </w:r>
    </w:p>
    <w:p w14:paraId="4385D1DC" w14:textId="7220237E" w:rsidR="00342137" w:rsidRPr="00211D94" w:rsidRDefault="00753794" w:rsidP="00342137">
      <w:pPr>
        <w:numPr>
          <w:ilvl w:val="0"/>
          <w:numId w:val="12"/>
        </w:numPr>
        <w:spacing w:before="120" w:after="0"/>
        <w:ind w:left="426"/>
        <w:contextualSpacing/>
        <w:rPr>
          <w:rFonts w:cs="Arial"/>
          <w:szCs w:val="24"/>
        </w:rPr>
      </w:pPr>
      <w:r w:rsidRPr="00211D94">
        <w:rPr>
          <w:rFonts w:cs="Arial"/>
          <w:szCs w:val="24"/>
        </w:rPr>
        <w:t>„</w:t>
      </w:r>
      <w:r w:rsidR="00342137" w:rsidRPr="00211D94">
        <w:rPr>
          <w:rFonts w:cs="Arial"/>
          <w:szCs w:val="24"/>
        </w:rPr>
        <w:t>Liczba szkół i placówek kształcenia zawodowego wykorzystujących doposażenie zakupione dzięki EFS</w:t>
      </w:r>
      <w:r w:rsidRPr="00211D94">
        <w:rPr>
          <w:rFonts w:cs="Arial"/>
          <w:szCs w:val="24"/>
        </w:rPr>
        <w:t>”</w:t>
      </w:r>
      <w:r w:rsidR="00342137" w:rsidRPr="00211D94">
        <w:rPr>
          <w:rFonts w:cs="Arial"/>
          <w:szCs w:val="24"/>
        </w:rPr>
        <w:t xml:space="preserve"> – 88, osiągnięto 100% celu;</w:t>
      </w:r>
    </w:p>
    <w:p w14:paraId="7FD0CD25" w14:textId="5F84D5FA" w:rsidR="00342137" w:rsidRPr="00211D94" w:rsidRDefault="00342137" w:rsidP="00342137">
      <w:pPr>
        <w:spacing w:before="120" w:after="0"/>
        <w:rPr>
          <w:rFonts w:cs="Arial"/>
          <w:szCs w:val="24"/>
        </w:rPr>
      </w:pPr>
      <w:bookmarkStart w:id="131" w:name="_Hlk212464006"/>
      <w:r w:rsidRPr="00211D94">
        <w:rPr>
          <w:rFonts w:cs="Arial"/>
          <w:szCs w:val="24"/>
        </w:rPr>
        <w:t>Dla OP3 określono w odniesieniu do ram wykonania cztery wskaźniki</w:t>
      </w:r>
      <w:bookmarkEnd w:id="131"/>
      <w:r w:rsidRPr="00211D94">
        <w:rPr>
          <w:rFonts w:cs="Arial"/>
          <w:szCs w:val="24"/>
        </w:rPr>
        <w:t xml:space="preserve">: </w:t>
      </w:r>
    </w:p>
    <w:p w14:paraId="085AF7AF" w14:textId="295AB7BC" w:rsidR="00342137" w:rsidRPr="00211D94" w:rsidRDefault="00753794" w:rsidP="00342137">
      <w:pPr>
        <w:pStyle w:val="Akapitzlist"/>
        <w:numPr>
          <w:ilvl w:val="0"/>
          <w:numId w:val="33"/>
        </w:numPr>
        <w:spacing w:before="120" w:line="276" w:lineRule="auto"/>
        <w:rPr>
          <w:rFonts w:cs="Arial"/>
          <w:szCs w:val="24"/>
        </w:rPr>
      </w:pPr>
      <w:r w:rsidRPr="00211D94">
        <w:rPr>
          <w:rFonts w:cs="Arial"/>
          <w:szCs w:val="24"/>
        </w:rPr>
        <w:t>„</w:t>
      </w:r>
      <w:r w:rsidR="00342137" w:rsidRPr="00211D94">
        <w:rPr>
          <w:rFonts w:cs="Arial"/>
          <w:szCs w:val="24"/>
        </w:rPr>
        <w:t>Liczba miejsc wychowania przedszkolnego dofinansowanych w Programie</w:t>
      </w:r>
      <w:r w:rsidRPr="00211D94">
        <w:rPr>
          <w:rFonts w:cs="Arial"/>
          <w:szCs w:val="24"/>
        </w:rPr>
        <w:t>”</w:t>
      </w:r>
      <w:r w:rsidR="00342137" w:rsidRPr="00211D94">
        <w:rPr>
          <w:rFonts w:cs="Arial"/>
          <w:szCs w:val="24"/>
        </w:rPr>
        <w:t>, których dofinansowano 10 146 - co stanowi 133,96% celu końcowego (2023 r.)</w:t>
      </w:r>
    </w:p>
    <w:p w14:paraId="24DCB623" w14:textId="2D41AA30" w:rsidR="00342137" w:rsidRPr="00211D94" w:rsidRDefault="00753794" w:rsidP="00342137">
      <w:pPr>
        <w:numPr>
          <w:ilvl w:val="0"/>
          <w:numId w:val="10"/>
        </w:numPr>
        <w:spacing w:before="120" w:after="0"/>
        <w:ind w:left="426"/>
        <w:contextualSpacing/>
        <w:rPr>
          <w:rFonts w:cs="Arial"/>
          <w:szCs w:val="24"/>
        </w:rPr>
      </w:pPr>
      <w:r w:rsidRPr="00211D94">
        <w:rPr>
          <w:rFonts w:cs="Arial"/>
          <w:szCs w:val="24"/>
        </w:rPr>
        <w:t>„</w:t>
      </w:r>
      <w:r w:rsidR="00342137" w:rsidRPr="00211D94">
        <w:rPr>
          <w:rFonts w:cs="Arial"/>
          <w:szCs w:val="24"/>
        </w:rPr>
        <w:t>Liczba uczniów objętych wsparciem w zakresie rozwijania kompetencji kluczowych w Programie</w:t>
      </w:r>
      <w:r w:rsidRPr="00211D94">
        <w:rPr>
          <w:rFonts w:cs="Arial"/>
          <w:szCs w:val="24"/>
        </w:rPr>
        <w:t>”</w:t>
      </w:r>
      <w:r w:rsidR="00342137" w:rsidRPr="00211D94">
        <w:rPr>
          <w:rFonts w:cs="Arial"/>
          <w:szCs w:val="24"/>
        </w:rPr>
        <w:t>, w ramach którego objęto wsparciem 185 174 osoby – co stanowi 147,86% celu końcowego (2023 r.)</w:t>
      </w:r>
    </w:p>
    <w:p w14:paraId="42443415" w14:textId="28F7C8C8" w:rsidR="00342137" w:rsidRPr="00211D94" w:rsidRDefault="00753794" w:rsidP="00342137">
      <w:pPr>
        <w:numPr>
          <w:ilvl w:val="0"/>
          <w:numId w:val="10"/>
        </w:numPr>
        <w:spacing w:before="120" w:after="0"/>
        <w:ind w:left="426"/>
        <w:contextualSpacing/>
        <w:rPr>
          <w:rFonts w:cs="Arial"/>
          <w:szCs w:val="24"/>
        </w:rPr>
      </w:pPr>
      <w:r w:rsidRPr="00211D94">
        <w:rPr>
          <w:rFonts w:cs="Arial"/>
          <w:szCs w:val="24"/>
        </w:rPr>
        <w:t>„</w:t>
      </w:r>
      <w:r w:rsidR="00342137" w:rsidRPr="00211D94">
        <w:rPr>
          <w:rFonts w:cs="Arial"/>
          <w:szCs w:val="24"/>
        </w:rPr>
        <w:t>Liczba nauczycieli objętych wsparciem w Programie</w:t>
      </w:r>
      <w:r w:rsidRPr="00211D94">
        <w:rPr>
          <w:rFonts w:cs="Arial"/>
          <w:szCs w:val="24"/>
        </w:rPr>
        <w:t>”</w:t>
      </w:r>
      <w:r w:rsidR="00342137" w:rsidRPr="00211D94">
        <w:rPr>
          <w:rFonts w:cs="Arial"/>
          <w:szCs w:val="24"/>
        </w:rPr>
        <w:t>, w ramach którego objęto wsparciem 18 605 osób – co stanowi 128,22% celu końcowego (2023 r.)</w:t>
      </w:r>
    </w:p>
    <w:p w14:paraId="3EC2D16C" w14:textId="77777777" w:rsidR="00342137" w:rsidRPr="00211D94" w:rsidRDefault="00342137" w:rsidP="00342137">
      <w:pPr>
        <w:numPr>
          <w:ilvl w:val="0"/>
          <w:numId w:val="10"/>
        </w:numPr>
        <w:spacing w:before="120" w:after="0"/>
        <w:ind w:left="425" w:hanging="357"/>
        <w:contextualSpacing/>
        <w:rPr>
          <w:rFonts w:cs="Arial"/>
          <w:szCs w:val="24"/>
        </w:rPr>
      </w:pPr>
      <w:r w:rsidRPr="00211D94">
        <w:rPr>
          <w:rFonts w:cs="Arial"/>
          <w:szCs w:val="24"/>
        </w:rPr>
        <w:t>Całkowita kwota certyfikowanych wydatków kwalifikowalnych – certyfikowano 163 449 782,30 EUR co stanowi 101,34% celu końcowego (2023 r.)</w:t>
      </w:r>
    </w:p>
    <w:p w14:paraId="625DBC24" w14:textId="77777777" w:rsidR="00342137" w:rsidRPr="00211D94" w:rsidRDefault="00342137" w:rsidP="00342137">
      <w:pPr>
        <w:spacing w:before="120" w:after="0"/>
        <w:ind w:left="68"/>
        <w:contextualSpacing/>
        <w:rPr>
          <w:rFonts w:cs="Arial"/>
          <w:szCs w:val="24"/>
        </w:rPr>
      </w:pPr>
    </w:p>
    <w:p w14:paraId="1E54E5AF" w14:textId="358AA85C" w:rsidR="00342137" w:rsidRPr="00211D94" w:rsidRDefault="00342137" w:rsidP="008B3DAE">
      <w:pPr>
        <w:spacing w:before="120" w:after="0"/>
        <w:ind w:left="68"/>
        <w:contextualSpacing/>
        <w:rPr>
          <w:rFonts w:cs="Arial"/>
          <w:szCs w:val="24"/>
        </w:rPr>
      </w:pPr>
      <w:r w:rsidRPr="00211D94">
        <w:rPr>
          <w:rFonts w:cs="Arial"/>
          <w:szCs w:val="24"/>
        </w:rPr>
        <w:t xml:space="preserve">Skuteczność wsparcia realizowanego w ramach tej Osi potwierdzają cele rzeczowe </w:t>
      </w:r>
      <w:r w:rsidRPr="00211D94">
        <w:rPr>
          <w:rFonts w:cs="Arial"/>
          <w:szCs w:val="24"/>
        </w:rPr>
        <w:br/>
        <w:t xml:space="preserve">i finansowe zakładane w odniesieniu do ram wykonania, które zostały w pełni zrealizowane. Ww. wskaźniki produktów przekroczyły określone wartości docelowe, co stanowi potwierdzenie sukcesu edukacyjnego. Wskaźniki te monitorowane są w ramach projektów w Działaniu 3.1. </w:t>
      </w:r>
      <w:r w:rsidR="00753794" w:rsidRPr="00211D94">
        <w:rPr>
          <w:rFonts w:cs="Arial"/>
          <w:szCs w:val="24"/>
        </w:rPr>
        <w:t>„</w:t>
      </w:r>
      <w:r w:rsidRPr="00211D94">
        <w:rPr>
          <w:rFonts w:cs="Arial"/>
          <w:szCs w:val="24"/>
        </w:rPr>
        <w:t>Edukacja przedszkolna</w:t>
      </w:r>
      <w:r w:rsidR="00753794" w:rsidRPr="00211D94">
        <w:rPr>
          <w:rFonts w:cs="Arial"/>
          <w:szCs w:val="24"/>
        </w:rPr>
        <w:t>”</w:t>
      </w:r>
      <w:r w:rsidRPr="00211D94">
        <w:rPr>
          <w:rFonts w:cs="Arial"/>
          <w:szCs w:val="24"/>
        </w:rPr>
        <w:t xml:space="preserve"> oraz Działaniu 3.2. </w:t>
      </w:r>
      <w:r w:rsidR="00753794" w:rsidRPr="00211D94">
        <w:rPr>
          <w:rFonts w:cs="Arial"/>
          <w:szCs w:val="24"/>
        </w:rPr>
        <w:t>„</w:t>
      </w:r>
      <w:r w:rsidRPr="00211D94">
        <w:rPr>
          <w:rFonts w:cs="Arial"/>
          <w:szCs w:val="24"/>
        </w:rPr>
        <w:t>Edukacja ogólna</w:t>
      </w:r>
      <w:r w:rsidR="00753794" w:rsidRPr="00211D94">
        <w:rPr>
          <w:rFonts w:cs="Arial"/>
          <w:szCs w:val="24"/>
        </w:rPr>
        <w:t>”</w:t>
      </w:r>
      <w:r w:rsidRPr="00211D94">
        <w:rPr>
          <w:rFonts w:cs="Arial"/>
          <w:szCs w:val="24"/>
        </w:rPr>
        <w:t xml:space="preserve">. Główny wpływ na ich wysoki poziom wykonania miała przede wszystkim realizacja projektów w trybie pozakonkursowym w ramach Poddziałania 3.2.2. </w:t>
      </w:r>
      <w:r w:rsidR="00753794" w:rsidRPr="00211D94">
        <w:rPr>
          <w:rFonts w:cs="Arial"/>
          <w:szCs w:val="24"/>
        </w:rPr>
        <w:t>„</w:t>
      </w:r>
      <w:r w:rsidRPr="00211D94">
        <w:rPr>
          <w:rFonts w:cs="Arial"/>
          <w:szCs w:val="24"/>
        </w:rPr>
        <w:t>Wsparcie ucznia szczególnie uzdolnionego</w:t>
      </w:r>
      <w:r w:rsidR="00753794" w:rsidRPr="00211D94">
        <w:rPr>
          <w:rFonts w:cs="Arial"/>
          <w:szCs w:val="24"/>
        </w:rPr>
        <w:t>”</w:t>
      </w:r>
      <w:r w:rsidRPr="00211D94">
        <w:rPr>
          <w:rFonts w:cs="Arial"/>
          <w:szCs w:val="24"/>
        </w:rPr>
        <w:t>.</w:t>
      </w:r>
    </w:p>
    <w:p w14:paraId="39FC3787" w14:textId="09C402D3" w:rsidR="00342137" w:rsidRPr="00211D94" w:rsidRDefault="00342137" w:rsidP="00342137">
      <w:pPr>
        <w:spacing w:before="120" w:after="0"/>
        <w:rPr>
          <w:rFonts w:cs="Arial"/>
          <w:szCs w:val="24"/>
        </w:rPr>
      </w:pPr>
      <w:r w:rsidRPr="00211D94">
        <w:rPr>
          <w:rFonts w:cs="Arial"/>
          <w:bCs/>
          <w:szCs w:val="24"/>
        </w:rPr>
        <w:t>Na uwagę zasługuje fakt, że w Poddziałaniu 3.3.1</w:t>
      </w:r>
      <w:r w:rsidRPr="00211D94">
        <w:rPr>
          <w:rFonts w:cs="Arial"/>
          <w:szCs w:val="24"/>
        </w:rPr>
        <w:t xml:space="preserve">. </w:t>
      </w:r>
      <w:r w:rsidR="00753794" w:rsidRPr="00211D94">
        <w:rPr>
          <w:rFonts w:cs="Arial"/>
          <w:szCs w:val="24"/>
        </w:rPr>
        <w:t>„</w:t>
      </w:r>
      <w:r w:rsidRPr="00211D94">
        <w:rPr>
          <w:rFonts w:cs="Arial"/>
          <w:szCs w:val="24"/>
        </w:rPr>
        <w:t>Jakość edukacji zawodowej</w:t>
      </w:r>
      <w:r w:rsidR="00753794" w:rsidRPr="00211D94">
        <w:rPr>
          <w:rFonts w:cs="Arial"/>
          <w:szCs w:val="24"/>
        </w:rPr>
        <w:t>”</w:t>
      </w:r>
      <w:r w:rsidRPr="00211D94">
        <w:rPr>
          <w:rFonts w:cs="Arial"/>
          <w:szCs w:val="24"/>
        </w:rPr>
        <w:t xml:space="preserve"> (PI 10iv)</w:t>
      </w:r>
      <w:r w:rsidRPr="00211D94">
        <w:rPr>
          <w:rFonts w:cs="Arial"/>
          <w:bCs/>
          <w:szCs w:val="24"/>
        </w:rPr>
        <w:t xml:space="preserve"> zrealizowano 23 projekty w formule zintegrowanej z projektami w ramach Poddziałania 4.1. </w:t>
      </w:r>
      <w:r w:rsidR="00753794" w:rsidRPr="00211D94">
        <w:rPr>
          <w:rFonts w:cs="Arial"/>
          <w:bCs/>
          <w:szCs w:val="24"/>
        </w:rPr>
        <w:t>„</w:t>
      </w:r>
      <w:r w:rsidRPr="00211D94">
        <w:rPr>
          <w:rFonts w:cs="Arial"/>
          <w:bCs/>
          <w:szCs w:val="24"/>
        </w:rPr>
        <w:t>Infrastruktura ponadgimnazjalnych szkół zawodowych</w:t>
      </w:r>
      <w:r w:rsidR="00753794" w:rsidRPr="00211D94">
        <w:rPr>
          <w:rFonts w:cs="Arial"/>
          <w:bCs/>
          <w:szCs w:val="24"/>
        </w:rPr>
        <w:t>”</w:t>
      </w:r>
      <w:r w:rsidRPr="00211D94">
        <w:rPr>
          <w:rFonts w:cs="Arial"/>
          <w:bCs/>
          <w:szCs w:val="24"/>
        </w:rPr>
        <w:t xml:space="preserve"> (PI 10a). Projekt zintegrowany</w:t>
      </w:r>
      <w:r w:rsidRPr="00211D94">
        <w:rPr>
          <w:rFonts w:cs="Arial"/>
          <w:szCs w:val="24"/>
        </w:rPr>
        <w:t xml:space="preserve"> składał się z 2 projektów: infrastrukturaln</w:t>
      </w:r>
      <w:r w:rsidR="000073C9" w:rsidRPr="00211D94">
        <w:rPr>
          <w:rFonts w:cs="Arial"/>
          <w:szCs w:val="24"/>
        </w:rPr>
        <w:t>ego</w:t>
      </w:r>
      <w:r w:rsidRPr="00211D94">
        <w:rPr>
          <w:rFonts w:cs="Arial"/>
          <w:szCs w:val="24"/>
        </w:rPr>
        <w:t xml:space="preserve"> - realizowan</w:t>
      </w:r>
      <w:r w:rsidR="000073C9" w:rsidRPr="00211D94">
        <w:rPr>
          <w:rFonts w:cs="Arial"/>
          <w:szCs w:val="24"/>
        </w:rPr>
        <w:t>ego</w:t>
      </w:r>
      <w:r w:rsidRPr="00211D94">
        <w:rPr>
          <w:rFonts w:cs="Arial"/>
          <w:szCs w:val="24"/>
        </w:rPr>
        <w:t xml:space="preserve"> dla Działania 4.1. (PI</w:t>
      </w:r>
      <w:r w:rsidR="001F7AEF" w:rsidRPr="00211D94">
        <w:rPr>
          <w:rFonts w:cs="Arial"/>
          <w:szCs w:val="24"/>
        </w:rPr>
        <w:t xml:space="preserve"> </w:t>
      </w:r>
      <w:r w:rsidRPr="00211D94">
        <w:rPr>
          <w:rFonts w:cs="Arial"/>
          <w:szCs w:val="24"/>
        </w:rPr>
        <w:t>10a) ze środków EFRR oraz nieinfrastrukturaln</w:t>
      </w:r>
      <w:r w:rsidR="000073C9" w:rsidRPr="00211D94">
        <w:rPr>
          <w:rFonts w:cs="Arial"/>
          <w:szCs w:val="24"/>
        </w:rPr>
        <w:t>ego</w:t>
      </w:r>
      <w:r w:rsidRPr="00211D94">
        <w:rPr>
          <w:rFonts w:cs="Arial"/>
          <w:szCs w:val="24"/>
        </w:rPr>
        <w:t xml:space="preserve"> </w:t>
      </w:r>
      <w:r w:rsidR="000073C9" w:rsidRPr="00211D94">
        <w:rPr>
          <w:rFonts w:cs="Arial"/>
          <w:szCs w:val="24"/>
        </w:rPr>
        <w:t>–</w:t>
      </w:r>
      <w:r w:rsidRPr="00211D94">
        <w:rPr>
          <w:rFonts w:cs="Arial"/>
          <w:szCs w:val="24"/>
        </w:rPr>
        <w:t xml:space="preserve"> realizowan</w:t>
      </w:r>
      <w:r w:rsidR="000073C9" w:rsidRPr="00211D94">
        <w:rPr>
          <w:rFonts w:cs="Arial"/>
          <w:szCs w:val="24"/>
        </w:rPr>
        <w:t xml:space="preserve">ego </w:t>
      </w:r>
      <w:r w:rsidRPr="00211D94">
        <w:rPr>
          <w:rFonts w:cs="Arial"/>
          <w:szCs w:val="24"/>
        </w:rPr>
        <w:t>w ramach Poddziałania 3.3.1.(PI</w:t>
      </w:r>
      <w:r w:rsidR="001F7AEF" w:rsidRPr="00211D94">
        <w:rPr>
          <w:rFonts w:cs="Arial"/>
          <w:szCs w:val="24"/>
        </w:rPr>
        <w:t xml:space="preserve"> </w:t>
      </w:r>
      <w:r w:rsidRPr="00211D94">
        <w:rPr>
          <w:rFonts w:cs="Arial"/>
          <w:szCs w:val="24"/>
        </w:rPr>
        <w:t>10iv) ze środków EFS.</w:t>
      </w:r>
    </w:p>
    <w:p w14:paraId="212F60E9" w14:textId="6C85B464" w:rsidR="00342137" w:rsidRPr="00211D94" w:rsidRDefault="00342137" w:rsidP="00342137">
      <w:pPr>
        <w:spacing w:before="120"/>
        <w:rPr>
          <w:rFonts w:eastAsia="Times New Roman" w:cs="Arial"/>
          <w:szCs w:val="24"/>
          <w:lang w:eastAsia="pl-PL"/>
        </w:rPr>
      </w:pPr>
      <w:r w:rsidRPr="00211D94">
        <w:rPr>
          <w:rFonts w:eastAsia="Times New Roman" w:cs="Arial"/>
          <w:szCs w:val="24"/>
          <w:lang w:eastAsia="pl-PL"/>
        </w:rPr>
        <w:t xml:space="preserve">Projekty w PI 10i zrealizowały w pełni przewidziany zakres wsparcia, co było wynikiem sformułowanych na poziomie regionalnym ram dla zakresu wsparcia (przedsięwzięcie strategiczne </w:t>
      </w:r>
      <w:r w:rsidR="00753794" w:rsidRPr="00211D94">
        <w:rPr>
          <w:rFonts w:eastAsia="Times New Roman" w:cs="Arial"/>
          <w:szCs w:val="24"/>
          <w:lang w:eastAsia="pl-PL"/>
        </w:rPr>
        <w:t>„</w:t>
      </w:r>
      <w:r w:rsidRPr="00211D94">
        <w:rPr>
          <w:rFonts w:eastAsia="CIDFont+F2" w:cs="Arial"/>
          <w:szCs w:val="24"/>
          <w:lang w:eastAsia="pl-PL"/>
        </w:rPr>
        <w:t>Kompleksowe wsparcie szkół i placówek</w:t>
      </w:r>
      <w:r w:rsidR="00753794" w:rsidRPr="00211D94">
        <w:rPr>
          <w:rFonts w:eastAsia="CIDFont+F2" w:cs="Arial"/>
          <w:szCs w:val="24"/>
          <w:lang w:eastAsia="pl-PL"/>
        </w:rPr>
        <w:t>”</w:t>
      </w:r>
      <w:r w:rsidRPr="00211D94">
        <w:rPr>
          <w:rFonts w:eastAsia="Times New Roman" w:cs="Arial"/>
          <w:szCs w:val="24"/>
          <w:lang w:eastAsia="pl-PL"/>
        </w:rPr>
        <w:t xml:space="preserve">). Założenia dotyczące kompleksowości wsparcia oraz system kryteriów i zasady poprzedzające składanie wniosków (konieczność opracowania diagnozy uwzględniającej szczegółową analizę bieżących i prognozowanych potrzeb w zakresie miejsc edukacji przedszkolnej/ zapotrzebowania na wsparcie edukacji ogólnej) sprzyjały wysokiej trafności i skuteczności wsparcia. Do czynników mogących wspierać skuteczność interwencji w ramach PI 10i należy zaliczyć także stosowanie preferencji przy wyborze projektów do dofinansowania. Z kolei ukierunkowanie terytorialne odnoszące się do natężenia negatywnych zjawisk przyczyniło się do zmniejszenia różnic wewnątrzregionalnych. </w:t>
      </w:r>
    </w:p>
    <w:p w14:paraId="31A57ECC" w14:textId="0F0D44AE" w:rsidR="00342137" w:rsidRPr="00211D94" w:rsidRDefault="00342137" w:rsidP="00342137">
      <w:pPr>
        <w:spacing w:before="120"/>
        <w:rPr>
          <w:rFonts w:eastAsia="Times New Roman" w:cs="Arial"/>
          <w:szCs w:val="24"/>
          <w:lang w:eastAsia="pl-PL"/>
        </w:rPr>
      </w:pPr>
      <w:r w:rsidRPr="00211D94">
        <w:rPr>
          <w:rFonts w:eastAsia="Times New Roman" w:cs="Arial"/>
          <w:szCs w:val="24"/>
          <w:lang w:eastAsia="pl-PL"/>
        </w:rPr>
        <w:t xml:space="preserve">W </w:t>
      </w:r>
      <w:r w:rsidR="00C0297B" w:rsidRPr="00211D94">
        <w:rPr>
          <w:rFonts w:eastAsia="Times New Roman" w:cs="Arial"/>
          <w:szCs w:val="24"/>
          <w:lang w:eastAsia="pl-PL"/>
        </w:rPr>
        <w:t>zakresie</w:t>
      </w:r>
      <w:r w:rsidRPr="00211D94">
        <w:rPr>
          <w:rFonts w:eastAsia="Times New Roman" w:cs="Arial"/>
          <w:szCs w:val="24"/>
          <w:lang w:eastAsia="pl-PL"/>
        </w:rPr>
        <w:t xml:space="preserve"> edukacji ogólnej osiągnięto powszechność i masowość wsparcia, dzięki skierowaniu znacznych środków finansowych na ten obszar w połączeniu ze skutecznym mechanizmem ich dystrybucji zakładającym, że beneficjentami będą organy prowadzące szkoły obejmujące swoim wsparciem minimum 60% podlegających im szkół.</w:t>
      </w:r>
    </w:p>
    <w:p w14:paraId="34FE1BC5" w14:textId="2D7049A6" w:rsidR="00342137" w:rsidRPr="00211D94" w:rsidRDefault="00342137" w:rsidP="00342137">
      <w:pPr>
        <w:spacing w:before="120" w:after="120" w:line="288" w:lineRule="auto"/>
        <w:rPr>
          <w:rFonts w:cs="Arial"/>
          <w:szCs w:val="24"/>
        </w:rPr>
      </w:pPr>
      <w:r w:rsidRPr="00211D94">
        <w:rPr>
          <w:rFonts w:cs="Arial"/>
          <w:szCs w:val="24"/>
        </w:rPr>
        <w:t xml:space="preserve">Biorąc pod uwagę wyznaczone w Programie cele związane ze zwiększeniem liczby miejsc edukacji przedszkolnej i ich utrzymaniem, wyniki badań </w:t>
      </w:r>
      <w:r w:rsidR="00C0297B" w:rsidRPr="00211D94">
        <w:rPr>
          <w:rFonts w:cs="Arial"/>
          <w:szCs w:val="24"/>
        </w:rPr>
        <w:t xml:space="preserve">ewaluacyjnych </w:t>
      </w:r>
      <w:r w:rsidRPr="00211D94">
        <w:rPr>
          <w:rFonts w:cs="Arial"/>
          <w:szCs w:val="24"/>
        </w:rPr>
        <w:t xml:space="preserve">wskazywały na ich aktualność i potrzebę kontynuowania interwencji w kolejnym okresie programowania. Liczba dzieci objętych wychowaniem przedszkolnym w regionie wzrosła w ostatnich latach (według danych GUS w 2012 r. na 1 tys. dzieci w wieku 3-5 lat wychowaniem przedszkolnym objętych było 661 dzieci, w 2017 r. było to już 805, natomiast w 2023 r. było 912) co świadczy o wysokiej trafności wsparcia w obszarze edukacji przedszkolnej. </w:t>
      </w:r>
    </w:p>
    <w:p w14:paraId="137C2F3C" w14:textId="7017B11C" w:rsidR="00342137" w:rsidRPr="00211D94" w:rsidRDefault="00342137" w:rsidP="00342137">
      <w:pPr>
        <w:spacing w:before="120"/>
        <w:rPr>
          <w:rFonts w:eastAsia="Times New Roman" w:cs="Arial"/>
          <w:szCs w:val="24"/>
          <w:lang w:eastAsia="pl-PL"/>
        </w:rPr>
      </w:pPr>
      <w:r w:rsidRPr="00211D94">
        <w:rPr>
          <w:rFonts w:eastAsia="Times New Roman" w:cs="Arial"/>
          <w:szCs w:val="24"/>
          <w:lang w:eastAsia="pl-PL"/>
        </w:rPr>
        <w:t xml:space="preserve">Analiza zakresu projektów realizowanych w Działaniu 3.2.2 uwzględniających założenia przedsięwzięcia strategicznego </w:t>
      </w:r>
      <w:r w:rsidR="00753794" w:rsidRPr="00211D94">
        <w:rPr>
          <w:rFonts w:eastAsia="Times New Roman" w:cs="Arial"/>
          <w:szCs w:val="24"/>
          <w:lang w:eastAsia="pl-PL"/>
        </w:rPr>
        <w:t>„</w:t>
      </w:r>
      <w:r w:rsidRPr="00211D94">
        <w:rPr>
          <w:rFonts w:eastAsia="Times New Roman" w:cs="Arial"/>
          <w:szCs w:val="24"/>
          <w:lang w:eastAsia="pl-PL"/>
        </w:rPr>
        <w:t>Zdolni z Pomorza</w:t>
      </w:r>
      <w:r w:rsidR="00753794" w:rsidRPr="00211D94">
        <w:rPr>
          <w:rFonts w:eastAsia="Times New Roman" w:cs="Arial"/>
          <w:szCs w:val="24"/>
          <w:lang w:eastAsia="pl-PL"/>
        </w:rPr>
        <w:t>”</w:t>
      </w:r>
      <w:r w:rsidRPr="00211D94">
        <w:rPr>
          <w:rFonts w:eastAsia="Times New Roman" w:cs="Arial"/>
          <w:szCs w:val="24"/>
          <w:lang w:eastAsia="pl-PL"/>
        </w:rPr>
        <w:t xml:space="preserve"> wskazuje na kompleksowe podejście do rozwoju najzdolniejszych młodych mieszkańców Pomorza. Ważnym efektem było zacieśnienie relacji między samorządami i innymi podmiotami zaangażowanymi w realizację przedsięwzięcia. Chodzi tu zarówno o współpracę między SWP a powiatami i gminami na etapie </w:t>
      </w:r>
      <w:r w:rsidR="00C0297B" w:rsidRPr="00211D94">
        <w:rPr>
          <w:rFonts w:eastAsia="Times New Roman" w:cs="Arial"/>
          <w:szCs w:val="24"/>
          <w:lang w:eastAsia="pl-PL"/>
        </w:rPr>
        <w:t>opracowywania</w:t>
      </w:r>
      <w:r w:rsidRPr="00211D94">
        <w:rPr>
          <w:rFonts w:eastAsia="Times New Roman" w:cs="Arial"/>
          <w:szCs w:val="24"/>
          <w:lang w:eastAsia="pl-PL"/>
        </w:rPr>
        <w:t xml:space="preserve"> Programu, a także na etapie wdrażania projektów, w których założono wspieranie międzyoddziałowych, a nawet międzyszkolnych grup uczniów szczególnie uzdolnionych. </w:t>
      </w:r>
    </w:p>
    <w:p w14:paraId="1E2CBC08" w14:textId="7E9535CE" w:rsidR="00342137" w:rsidRPr="00211D94" w:rsidRDefault="00342137" w:rsidP="00342137">
      <w:pPr>
        <w:spacing w:before="120"/>
        <w:rPr>
          <w:rFonts w:cs="Arial"/>
          <w:szCs w:val="24"/>
        </w:rPr>
      </w:pPr>
      <w:r w:rsidRPr="00211D94">
        <w:rPr>
          <w:rFonts w:cs="Arial"/>
          <w:szCs w:val="24"/>
        </w:rPr>
        <w:t xml:space="preserve">W odniesieniu do </w:t>
      </w:r>
      <w:r w:rsidR="00BA7E0B" w:rsidRPr="00211D94">
        <w:rPr>
          <w:rFonts w:cs="Arial"/>
          <w:szCs w:val="24"/>
        </w:rPr>
        <w:t>P</w:t>
      </w:r>
      <w:r w:rsidRPr="00211D94">
        <w:rPr>
          <w:rFonts w:cs="Arial"/>
          <w:szCs w:val="24"/>
        </w:rPr>
        <w:t xml:space="preserve">oddziałania 3.3.1 należy zaznaczyć, że zastosowanie formuły przedsięwzięcia strategicznego </w:t>
      </w:r>
      <w:r w:rsidR="00753794" w:rsidRPr="00211D94">
        <w:rPr>
          <w:rFonts w:cs="Arial"/>
          <w:szCs w:val="24"/>
        </w:rPr>
        <w:t>„</w:t>
      </w:r>
      <w:r w:rsidRPr="00211D94">
        <w:rPr>
          <w:rFonts w:cs="Arial"/>
          <w:szCs w:val="24"/>
        </w:rPr>
        <w:t>Kształtowanie sieci szkół zawodowych w regionie</w:t>
      </w:r>
      <w:r w:rsidR="00753794" w:rsidRPr="00211D94">
        <w:rPr>
          <w:rFonts w:cs="Arial"/>
          <w:szCs w:val="24"/>
        </w:rPr>
        <w:t>”</w:t>
      </w:r>
      <w:r w:rsidRPr="00211D94">
        <w:rPr>
          <w:rFonts w:cs="Arial"/>
          <w:szCs w:val="24"/>
        </w:rPr>
        <w:t xml:space="preserve"> i organizacja konkursu na projekty zintegrowane przyczyniły się do zwiększenia skuteczności i komplementarności wsparcia – opracowane i zrealizowane zostały przemyślane, spójne projekty dotyczące rozwoju szkolnictwa zawodowego. Z kolei pozakonkursowy tryb wyboru projektów stwarzał możliwości wypełniania luk w kształceniu w zawodach, których nie objęły projekty konkursowe oraz umożliwiał uczniom ponadstandardowy rozwój kompetencji, a nauczycielom doskonalenie. Realizacja poddziałania wywiera pozytywny wpływ na zdawalność egzaminów potwierdzających kwalifikacje zawodowe oraz na ofertę i atrakcyjność szkół zawodowych. Ponadto proces pracy nad przedsięwzięciem strategicznym przyczynił się do zwiększenia zaangażowania starostów w poprawę trafności oferty kształcenia zawodowego w powiatach i w rozwój współpracy z pracodawcami, co wpłynęło na adekwatność oferty kształcenia zawodowego. Realizacja projektów zaowocowała także zwiększeniem zaangażowania pracodawców w proces kształcenia (m. in. dzięki tworzeniu klas patronackich). </w:t>
      </w:r>
    </w:p>
    <w:p w14:paraId="35365154" w14:textId="77777777" w:rsidR="00342137" w:rsidRPr="00211D94" w:rsidRDefault="00342137" w:rsidP="00342137">
      <w:pPr>
        <w:spacing w:before="120"/>
        <w:rPr>
          <w:rFonts w:cs="Arial"/>
          <w:szCs w:val="24"/>
        </w:rPr>
      </w:pPr>
      <w:r w:rsidRPr="00211D94">
        <w:rPr>
          <w:rFonts w:cs="Arial"/>
          <w:szCs w:val="24"/>
        </w:rPr>
        <w:t>Znaczące problemy i podjęte działania zaradcze:</w:t>
      </w:r>
    </w:p>
    <w:p w14:paraId="7FDAD5DC" w14:textId="5E5C96CC" w:rsidR="00342137" w:rsidRPr="00211D94" w:rsidRDefault="00342137" w:rsidP="008B3DAE">
      <w:pPr>
        <w:spacing w:before="120"/>
        <w:rPr>
          <w:rFonts w:cs="Arial"/>
          <w:szCs w:val="24"/>
        </w:rPr>
      </w:pPr>
      <w:r w:rsidRPr="00211D94">
        <w:rPr>
          <w:rFonts w:cs="Arial"/>
          <w:szCs w:val="24"/>
        </w:rPr>
        <w:t>Beneficjenci zgłaszali problemy z realizacją projektów w zakresie dochowania zgodności ze stawkami/cenami przyjętymi w budżetach realizowanych projektów, spowodowany inflacją, skutkującą znaczącym wzrostem cen towarów i usług. IZ RPO prowadzi</w:t>
      </w:r>
      <w:r w:rsidR="000073C9" w:rsidRPr="00211D94">
        <w:rPr>
          <w:rFonts w:cs="Arial"/>
          <w:szCs w:val="24"/>
        </w:rPr>
        <w:t>ła</w:t>
      </w:r>
      <w:r w:rsidRPr="00211D94">
        <w:rPr>
          <w:rFonts w:cs="Arial"/>
          <w:szCs w:val="24"/>
        </w:rPr>
        <w:t xml:space="preserve"> indywidualne konsultacje z Beneficjentami, opiekunowie projektów informowali o możliwości przesuwania oszczędności w projektach, co umożliwiło sprawną realizację projektów. </w:t>
      </w:r>
    </w:p>
    <w:p w14:paraId="2303F51C" w14:textId="3E8DCA91" w:rsidR="007D0568" w:rsidRPr="00211D94" w:rsidRDefault="00342137" w:rsidP="009428A6">
      <w:pPr>
        <w:tabs>
          <w:tab w:val="left" w:pos="432"/>
        </w:tabs>
        <w:spacing w:before="120" w:after="240"/>
        <w:rPr>
          <w:rFonts w:cs="Arial"/>
          <w:szCs w:val="24"/>
        </w:rPr>
      </w:pPr>
      <w:r w:rsidRPr="00211D94">
        <w:rPr>
          <w:rFonts w:cs="Arial"/>
          <w:szCs w:val="24"/>
        </w:rPr>
        <w:t>Okres pandemii miał również wpływ na realizację projektów m.in. szkoły funkcjonowały częściowo w trybie zdalnym. Ograniczenia i zalecenia dotyczące zachowania środków ostrożności utrudniały realizację wsparcia zgodnie z zaplanowanym w projektach harmonogramem. W/w ograniczenia miały odzwierciedlenie w procesie obsługi projektów ze strony Beneficjentów, w tym komunikacji i przygotowywania wniosków o płatność. IZ RPO WP, po analizie każdego przypadku, wyrażała zgodę na proponowane zmiany, tj. realizację zajęć dydaktycznych w formie zdalnej, wydłużanie okresu realizacji projektów w celu osiągnięcia zaplanowanych w projekcie wskaźników</w:t>
      </w:r>
      <w:r w:rsidR="007D0568" w:rsidRPr="00211D94">
        <w:rPr>
          <w:rFonts w:cs="Arial"/>
          <w:szCs w:val="24"/>
        </w:rPr>
        <w:t>.</w:t>
      </w:r>
    </w:p>
    <w:p w14:paraId="208FC6B3" w14:textId="77777777" w:rsidR="007D0568" w:rsidRPr="00211D94" w:rsidRDefault="007D0568" w:rsidP="00F55865">
      <w:pPr>
        <w:pStyle w:val="Nagwek2"/>
        <w:spacing w:before="120" w:after="120"/>
        <w:rPr>
          <w:rFonts w:cs="Arial"/>
          <w:sz w:val="24"/>
          <w:szCs w:val="24"/>
          <w:lang w:eastAsia="pl-PL"/>
        </w:rPr>
      </w:pPr>
      <w:bookmarkStart w:id="132" w:name="_Toc484443224"/>
      <w:bookmarkStart w:id="133" w:name="_Toc9418241"/>
      <w:bookmarkStart w:id="134" w:name="_Toc214025284"/>
      <w:r w:rsidRPr="00211D94">
        <w:rPr>
          <w:rFonts w:cs="Arial"/>
          <w:sz w:val="24"/>
          <w:szCs w:val="24"/>
          <w:lang w:eastAsia="pl-PL"/>
        </w:rPr>
        <w:t>OP4. KSZTAŁCENIE ZAWODOWE</w:t>
      </w:r>
      <w:bookmarkEnd w:id="132"/>
      <w:bookmarkEnd w:id="133"/>
      <w:bookmarkEnd w:id="134"/>
      <w:r w:rsidRPr="00211D94">
        <w:rPr>
          <w:rFonts w:cs="Arial"/>
          <w:sz w:val="24"/>
          <w:szCs w:val="24"/>
          <w:lang w:eastAsia="pl-PL"/>
        </w:rPr>
        <w:t xml:space="preserve"> </w:t>
      </w:r>
    </w:p>
    <w:tbl>
      <w:tblPr>
        <w:tblW w:w="0" w:type="auto"/>
        <w:tblLook w:val="04A0" w:firstRow="1" w:lastRow="0" w:firstColumn="1" w:lastColumn="0" w:noHBand="0" w:noVBand="1"/>
      </w:tblPr>
      <w:tblGrid>
        <w:gridCol w:w="1450"/>
        <w:gridCol w:w="7622"/>
      </w:tblGrid>
      <w:tr w:rsidR="007D0568" w:rsidRPr="00211D94" w14:paraId="3F48E03D" w14:textId="77777777" w:rsidTr="00756D1A">
        <w:tc>
          <w:tcPr>
            <w:tcW w:w="1450" w:type="dxa"/>
            <w:shd w:val="clear" w:color="auto" w:fill="auto"/>
          </w:tcPr>
          <w:p w14:paraId="46C677E0" w14:textId="477594C3"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41F1CF82" wp14:editId="23F5C63B">
                  <wp:extent cx="783590" cy="760095"/>
                  <wp:effectExtent l="0" t="0" r="0" b="1905"/>
                  <wp:docPr id="25" name="Obraz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590" cy="760095"/>
                          </a:xfrm>
                          <a:prstGeom prst="rect">
                            <a:avLst/>
                          </a:prstGeom>
                          <a:noFill/>
                          <a:ln>
                            <a:noFill/>
                          </a:ln>
                        </pic:spPr>
                      </pic:pic>
                    </a:graphicData>
                  </a:graphic>
                </wp:inline>
              </w:drawing>
            </w:r>
          </w:p>
        </w:tc>
        <w:tc>
          <w:tcPr>
            <w:tcW w:w="7622" w:type="dxa"/>
            <w:shd w:val="clear" w:color="auto" w:fill="auto"/>
          </w:tcPr>
          <w:p w14:paraId="46F1A4B7" w14:textId="4803B88B" w:rsidR="007D0568" w:rsidRPr="00211D94" w:rsidRDefault="007D0568" w:rsidP="00F55865">
            <w:pPr>
              <w:spacing w:before="120" w:after="120"/>
              <w:rPr>
                <w:rFonts w:cs="Arial"/>
                <w:b/>
                <w:szCs w:val="24"/>
              </w:rPr>
            </w:pPr>
            <w:r w:rsidRPr="00211D94">
              <w:rPr>
                <w:rFonts w:cs="Arial"/>
                <w:szCs w:val="24"/>
              </w:rPr>
              <w:t>OP4 odpowiada</w:t>
            </w:r>
            <w:r w:rsidR="000073C9" w:rsidRPr="00211D94">
              <w:rPr>
                <w:rFonts w:cs="Arial"/>
                <w:szCs w:val="24"/>
              </w:rPr>
              <w:t>ła</w:t>
            </w:r>
            <w:r w:rsidRPr="00211D94">
              <w:rPr>
                <w:rFonts w:cs="Arial"/>
                <w:szCs w:val="24"/>
              </w:rPr>
              <w:t xml:space="preserve"> na wyzwania dotyczące poprawy jakości kształcenia zawodowego z uwzględnieniem sytuacji na rynku pracy poprzez ukierunkowanie inwestycji w infrastrukturę ponadgimnazjalnych szkół zawodowych oraz uczelni prowadzących kształcenie o profilu praktycznym.</w:t>
            </w:r>
          </w:p>
        </w:tc>
      </w:tr>
    </w:tbl>
    <w:p w14:paraId="522D0016"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69CF633E" w14:textId="552A1EC7" w:rsidR="007D0568" w:rsidRPr="00211D94" w:rsidRDefault="007D0568" w:rsidP="00F55865">
      <w:pPr>
        <w:tabs>
          <w:tab w:val="left" w:pos="432"/>
        </w:tabs>
        <w:spacing w:before="120" w:after="120"/>
        <w:rPr>
          <w:rFonts w:cs="Arial"/>
          <w:szCs w:val="24"/>
        </w:rPr>
      </w:pPr>
      <w:r w:rsidRPr="00211D94">
        <w:rPr>
          <w:rFonts w:cs="Arial"/>
          <w:szCs w:val="24"/>
        </w:rPr>
        <w:t xml:space="preserve">W ramach OP4. </w:t>
      </w:r>
      <w:r w:rsidR="00753794" w:rsidRPr="00211D94">
        <w:rPr>
          <w:rFonts w:cs="Arial"/>
          <w:szCs w:val="24"/>
        </w:rPr>
        <w:t>„</w:t>
      </w:r>
      <w:r w:rsidRPr="00211D94">
        <w:rPr>
          <w:rFonts w:cs="Arial"/>
          <w:szCs w:val="24"/>
        </w:rPr>
        <w:t>Kształcenie zawodowe</w:t>
      </w:r>
      <w:r w:rsidR="00753794" w:rsidRPr="00211D94">
        <w:rPr>
          <w:rFonts w:cs="Arial"/>
          <w:szCs w:val="24"/>
        </w:rPr>
        <w:t>”</w:t>
      </w:r>
      <w:r w:rsidRPr="00211D94">
        <w:rPr>
          <w:rFonts w:cs="Arial"/>
          <w:szCs w:val="24"/>
        </w:rPr>
        <w:t xml:space="preserve"> zawarto 29 umów na kwotę </w:t>
      </w:r>
      <w:r w:rsidR="00ED62B8" w:rsidRPr="00211D94">
        <w:rPr>
          <w:rFonts w:cs="Arial"/>
          <w:szCs w:val="24"/>
        </w:rPr>
        <w:t xml:space="preserve">97 300 042 </w:t>
      </w:r>
      <w:r w:rsidRPr="00211D94">
        <w:rPr>
          <w:rFonts w:cs="Arial"/>
          <w:szCs w:val="24"/>
        </w:rPr>
        <w:t xml:space="preserve">EUR, w tym dofinansowanie UE </w:t>
      </w:r>
      <w:r w:rsidR="00ED62B8" w:rsidRPr="00211D94">
        <w:rPr>
          <w:rFonts w:cs="Arial"/>
          <w:szCs w:val="24"/>
        </w:rPr>
        <w:t xml:space="preserve">73 347 398 </w:t>
      </w:r>
      <w:r w:rsidRPr="00211D94">
        <w:rPr>
          <w:rFonts w:cs="Arial"/>
          <w:szCs w:val="24"/>
        </w:rPr>
        <w:t xml:space="preserve">EUR. Tym samym kontraktacja w tej Osi została osiągnięta na poziomie </w:t>
      </w:r>
      <w:r w:rsidR="00ED62B8" w:rsidRPr="00211D94">
        <w:rPr>
          <w:rFonts w:cs="Arial"/>
          <w:szCs w:val="24"/>
        </w:rPr>
        <w:t>106,8</w:t>
      </w:r>
      <w:r w:rsidRPr="00211D94">
        <w:rPr>
          <w:rFonts w:cs="Arial"/>
          <w:szCs w:val="24"/>
        </w:rPr>
        <w:t xml:space="preserve">% alokacji przeznaczonej na realizację OP4. </w:t>
      </w:r>
    </w:p>
    <w:p w14:paraId="541F2E9E" w14:textId="60A0E820"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9E6430">
        <w:rPr>
          <w:rFonts w:cs="Arial"/>
          <w:szCs w:val="24"/>
        </w:rPr>
        <w:t xml:space="preserve"> </w:t>
      </w:r>
      <w:r w:rsidRPr="00211D94">
        <w:rPr>
          <w:rFonts w:cs="Arial"/>
          <w:szCs w:val="24"/>
        </w:rPr>
        <w:t xml:space="preserve">wydatki na kwotę </w:t>
      </w:r>
      <w:r w:rsidR="007C346A" w:rsidRPr="00211D94">
        <w:rPr>
          <w:rFonts w:cs="Arial"/>
          <w:szCs w:val="24"/>
        </w:rPr>
        <w:t xml:space="preserve">90 595 846 </w:t>
      </w:r>
      <w:r w:rsidRPr="00211D94">
        <w:rPr>
          <w:rFonts w:cs="Arial"/>
          <w:szCs w:val="24"/>
        </w:rPr>
        <w:t xml:space="preserve">EUR, w tym </w:t>
      </w:r>
      <w:r w:rsidR="00ED62B8" w:rsidRPr="00211D94">
        <w:rPr>
          <w:rFonts w:cs="Arial"/>
          <w:szCs w:val="24"/>
        </w:rPr>
        <w:t xml:space="preserve">73 347 398 </w:t>
      </w:r>
      <w:r w:rsidRPr="00211D94">
        <w:rPr>
          <w:rFonts w:cs="Arial"/>
          <w:szCs w:val="24"/>
        </w:rPr>
        <w:t xml:space="preserve">EUR dofinansowania UE, co stanowi </w:t>
      </w:r>
      <w:r w:rsidR="00ED62B8" w:rsidRPr="00211D94">
        <w:rPr>
          <w:rFonts w:cs="Arial"/>
          <w:szCs w:val="24"/>
        </w:rPr>
        <w:t>106,8</w:t>
      </w:r>
      <w:r w:rsidRPr="00211D94">
        <w:rPr>
          <w:rFonts w:cs="Arial"/>
          <w:szCs w:val="24"/>
        </w:rPr>
        <w:t>% przeznaczonej na OP4 alokacji.</w:t>
      </w:r>
    </w:p>
    <w:p w14:paraId="4987FFCB" w14:textId="17F61075" w:rsidR="007D0568" w:rsidRPr="00211D94" w:rsidRDefault="007D0568" w:rsidP="00F55865">
      <w:pPr>
        <w:spacing w:before="120" w:after="120"/>
        <w:rPr>
          <w:rFonts w:cs="Arial"/>
          <w:szCs w:val="24"/>
        </w:rPr>
      </w:pPr>
      <w:r w:rsidRPr="00211D94">
        <w:rPr>
          <w:rFonts w:cs="Arial"/>
          <w:szCs w:val="24"/>
        </w:rPr>
        <w:t xml:space="preserve">Dla OP4 określono w odniesieniu do ram wykonania </w:t>
      </w:r>
      <w:r w:rsidR="00BA7E0B" w:rsidRPr="00211D94">
        <w:rPr>
          <w:rFonts w:cs="Arial"/>
          <w:szCs w:val="24"/>
        </w:rPr>
        <w:t xml:space="preserve">trzy </w:t>
      </w:r>
      <w:r w:rsidRPr="00211D94">
        <w:rPr>
          <w:rFonts w:cs="Arial"/>
          <w:szCs w:val="24"/>
        </w:rPr>
        <w:t>wskaźniki – wskaźnik produktu, KEW i wskaźnik finansowy tj.:</w:t>
      </w:r>
    </w:p>
    <w:p w14:paraId="016CF088" w14:textId="049BB625" w:rsidR="007D0568" w:rsidRPr="00211D94" w:rsidRDefault="00753794"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obiektów infrastruktury jednostek organizacyjnych systemu oświaty</w:t>
      </w:r>
      <w:r w:rsidRPr="00211D94">
        <w:rPr>
          <w:rFonts w:cs="Arial"/>
          <w:szCs w:val="24"/>
        </w:rPr>
        <w:t>”</w:t>
      </w:r>
      <w:r w:rsidR="007D0568" w:rsidRPr="00211D94">
        <w:rPr>
          <w:rFonts w:cs="Arial"/>
          <w:szCs w:val="24"/>
        </w:rPr>
        <w:t xml:space="preserve">, dla którego osiągnięto wartość </w:t>
      </w:r>
      <w:r w:rsidR="00976544" w:rsidRPr="00211D94">
        <w:rPr>
          <w:rFonts w:cs="Arial"/>
          <w:szCs w:val="24"/>
        </w:rPr>
        <w:t>81</w:t>
      </w:r>
      <w:r w:rsidR="007D0568" w:rsidRPr="00211D94">
        <w:rPr>
          <w:rFonts w:cs="Arial"/>
          <w:szCs w:val="24"/>
        </w:rPr>
        <w:t xml:space="preserve"> szt., co stanowi </w:t>
      </w:r>
      <w:r w:rsidR="00976544" w:rsidRPr="00211D94">
        <w:rPr>
          <w:rFonts w:cs="Arial"/>
          <w:szCs w:val="24"/>
        </w:rPr>
        <w:t>115,7</w:t>
      </w:r>
      <w:r w:rsidR="007D0568" w:rsidRPr="00211D94">
        <w:rPr>
          <w:rFonts w:cs="Arial"/>
          <w:szCs w:val="24"/>
        </w:rPr>
        <w:t xml:space="preserve">% celu końcowego (2023 r.). </w:t>
      </w:r>
    </w:p>
    <w:p w14:paraId="4B544675" w14:textId="09F46A3A" w:rsidR="007D0568" w:rsidRPr="00211D94" w:rsidRDefault="00753794"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Odsetek zidentyfikowanych do wsparcia organów prowadzących szkoły i placówki zawodowe</w:t>
      </w:r>
      <w:r w:rsidRPr="00211D94">
        <w:rPr>
          <w:rFonts w:cs="Arial"/>
          <w:szCs w:val="24"/>
        </w:rPr>
        <w:t>”</w:t>
      </w:r>
      <w:r w:rsidR="007D0568" w:rsidRPr="00211D94">
        <w:rPr>
          <w:rFonts w:cs="Arial"/>
          <w:szCs w:val="24"/>
        </w:rPr>
        <w:t>, z którymi zostały podpisane umowy o dofinansowanie, w którym osiągnięto postęp 100%, co stanowi 133,3% celu pośredniego na rok 2018,</w:t>
      </w:r>
    </w:p>
    <w:p w14:paraId="7B1FC10E" w14:textId="66552698"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976544" w:rsidRPr="00211D94">
        <w:rPr>
          <w:rFonts w:cs="Arial"/>
          <w:szCs w:val="24"/>
        </w:rPr>
        <w:t xml:space="preserve">89 677 592 </w:t>
      </w:r>
      <w:r w:rsidRPr="00211D94">
        <w:rPr>
          <w:rFonts w:cs="Arial"/>
          <w:szCs w:val="24"/>
        </w:rPr>
        <w:t xml:space="preserve">EUR – co powoduje, że cel końcowy (2023 r.) </w:t>
      </w:r>
      <w:r w:rsidR="00976544" w:rsidRPr="00211D94">
        <w:rPr>
          <w:rFonts w:cs="Arial"/>
          <w:szCs w:val="24"/>
        </w:rPr>
        <w:t xml:space="preserve">został osiągnięty </w:t>
      </w:r>
      <w:r w:rsidRPr="00211D94">
        <w:rPr>
          <w:rFonts w:cs="Arial"/>
          <w:szCs w:val="24"/>
        </w:rPr>
        <w:t xml:space="preserve">na poziomie </w:t>
      </w:r>
      <w:r w:rsidR="00976544" w:rsidRPr="00211D94">
        <w:rPr>
          <w:rFonts w:cs="Arial"/>
          <w:szCs w:val="24"/>
        </w:rPr>
        <w:t>111,0</w:t>
      </w:r>
      <w:r w:rsidRPr="00211D94">
        <w:rPr>
          <w:rFonts w:cs="Arial"/>
          <w:szCs w:val="24"/>
        </w:rPr>
        <w:t xml:space="preserve">%. </w:t>
      </w:r>
      <w:r w:rsidR="00A51349" w:rsidRPr="00211D94">
        <w:rPr>
          <w:rFonts w:cs="Arial"/>
          <w:szCs w:val="24"/>
        </w:rPr>
        <w:t>Wskaźnik finansowy obejmuje wydatki kwalifikowalne przekazane do KE.</w:t>
      </w:r>
    </w:p>
    <w:p w14:paraId="6F115389" w14:textId="518B212E" w:rsidR="00D67963" w:rsidRPr="00211D94" w:rsidRDefault="00CF1220" w:rsidP="00F55865">
      <w:pPr>
        <w:tabs>
          <w:tab w:val="left" w:pos="432"/>
        </w:tabs>
        <w:spacing w:before="120" w:after="120"/>
        <w:rPr>
          <w:rFonts w:cs="Arial"/>
          <w:szCs w:val="24"/>
        </w:rPr>
      </w:pPr>
      <w:r w:rsidRPr="00211D94">
        <w:rPr>
          <w:rFonts w:cs="Arial"/>
          <w:szCs w:val="24"/>
        </w:rPr>
        <w:t>W ramach OP4</w:t>
      </w:r>
      <w:r w:rsidR="007D0568" w:rsidRPr="00211D94">
        <w:rPr>
          <w:rFonts w:cs="Arial"/>
          <w:szCs w:val="24"/>
        </w:rPr>
        <w:t xml:space="preserve"> </w:t>
      </w:r>
      <w:r w:rsidRPr="00211D94">
        <w:rPr>
          <w:rFonts w:cs="Arial"/>
          <w:szCs w:val="24"/>
        </w:rPr>
        <w:t>zrealizowano</w:t>
      </w:r>
      <w:r w:rsidR="007D0568" w:rsidRPr="00211D94">
        <w:rPr>
          <w:rFonts w:cs="Arial"/>
          <w:bCs/>
          <w:szCs w:val="24"/>
        </w:rPr>
        <w:t xml:space="preserve"> przedsięwzięci</w:t>
      </w:r>
      <w:r w:rsidRPr="00211D94">
        <w:rPr>
          <w:rFonts w:cs="Arial"/>
          <w:bCs/>
          <w:szCs w:val="24"/>
        </w:rPr>
        <w:t>e</w:t>
      </w:r>
      <w:r w:rsidR="007D0568" w:rsidRPr="00211D94">
        <w:rPr>
          <w:rFonts w:cs="Arial"/>
          <w:bCs/>
          <w:szCs w:val="24"/>
        </w:rPr>
        <w:t xml:space="preserve"> strategiczne „</w:t>
      </w:r>
      <w:r w:rsidR="007D0568" w:rsidRPr="00211D94">
        <w:rPr>
          <w:rFonts w:cs="Arial"/>
          <w:bCs/>
          <w:iCs/>
          <w:szCs w:val="24"/>
        </w:rPr>
        <w:t xml:space="preserve">Kształtowanie sieci ponadgimnazjalnych szkół zawodowych uwzględniającej potrzeby </w:t>
      </w:r>
      <w:proofErr w:type="spellStart"/>
      <w:r w:rsidR="007D0568" w:rsidRPr="00211D94">
        <w:rPr>
          <w:rFonts w:cs="Arial"/>
          <w:bCs/>
          <w:iCs/>
          <w:szCs w:val="24"/>
        </w:rPr>
        <w:t>subregionalnych</w:t>
      </w:r>
      <w:proofErr w:type="spellEnd"/>
      <w:r w:rsidR="007D0568" w:rsidRPr="00211D94">
        <w:rPr>
          <w:rFonts w:cs="Arial"/>
          <w:bCs/>
          <w:iCs/>
          <w:szCs w:val="24"/>
        </w:rPr>
        <w:t xml:space="preserve"> i regionalnego rynków pracy</w:t>
      </w:r>
      <w:r w:rsidR="007D0568" w:rsidRPr="00211D94">
        <w:rPr>
          <w:rFonts w:cs="Arial"/>
          <w:bCs/>
          <w:szCs w:val="24"/>
        </w:rPr>
        <w:t>", w ramach którego zidentyfikowano ponad</w:t>
      </w:r>
      <w:r w:rsidR="00EA0C03" w:rsidRPr="00211D94">
        <w:rPr>
          <w:rFonts w:cs="Arial"/>
          <w:bCs/>
          <w:szCs w:val="24"/>
        </w:rPr>
        <w:t xml:space="preserve">podstawowe </w:t>
      </w:r>
      <w:r w:rsidR="007D0568" w:rsidRPr="00211D94">
        <w:rPr>
          <w:rFonts w:cs="Arial"/>
          <w:bCs/>
          <w:szCs w:val="24"/>
        </w:rPr>
        <w:t>szkoły zawodowe, które powinny otrzymać wsparcie</w:t>
      </w:r>
      <w:r w:rsidRPr="00211D94">
        <w:rPr>
          <w:rFonts w:cs="Arial"/>
          <w:bCs/>
          <w:szCs w:val="24"/>
        </w:rPr>
        <w:t>. W ramach</w:t>
      </w:r>
      <w:r w:rsidR="007D0568" w:rsidRPr="00211D94">
        <w:rPr>
          <w:rFonts w:cs="Arial"/>
          <w:bCs/>
          <w:szCs w:val="24"/>
        </w:rPr>
        <w:t> Działani</w:t>
      </w:r>
      <w:r w:rsidRPr="00211D94">
        <w:rPr>
          <w:rFonts w:cs="Arial"/>
          <w:bCs/>
          <w:szCs w:val="24"/>
        </w:rPr>
        <w:t>a</w:t>
      </w:r>
      <w:r w:rsidR="007D0568" w:rsidRPr="00211D94">
        <w:rPr>
          <w:rFonts w:cs="Arial"/>
          <w:bCs/>
          <w:szCs w:val="24"/>
        </w:rPr>
        <w:t xml:space="preserve"> 4.1</w:t>
      </w:r>
      <w:r w:rsidR="002526A7" w:rsidRPr="00211D94">
        <w:rPr>
          <w:rFonts w:cs="Arial"/>
          <w:bCs/>
          <w:szCs w:val="24"/>
        </w:rPr>
        <w:t>.</w:t>
      </w:r>
      <w:r w:rsidR="007D0568" w:rsidRPr="00211D94">
        <w:rPr>
          <w:rFonts w:cs="Arial"/>
          <w:bCs/>
          <w:szCs w:val="24"/>
        </w:rPr>
        <w:t xml:space="preserve"> </w:t>
      </w:r>
      <w:r w:rsidR="00753794" w:rsidRPr="00211D94">
        <w:rPr>
          <w:rFonts w:cs="Arial"/>
          <w:bCs/>
          <w:szCs w:val="24"/>
        </w:rPr>
        <w:t>„</w:t>
      </w:r>
      <w:r w:rsidR="007D0568" w:rsidRPr="00211D94">
        <w:rPr>
          <w:rFonts w:cs="Arial"/>
          <w:szCs w:val="24"/>
        </w:rPr>
        <w:t>Infrastruktura szkół zawodowych</w:t>
      </w:r>
      <w:r w:rsidR="00753794" w:rsidRPr="00211D94">
        <w:rPr>
          <w:rFonts w:cs="Arial"/>
          <w:szCs w:val="24"/>
        </w:rPr>
        <w:t>”</w:t>
      </w:r>
      <w:r w:rsidR="007D0568" w:rsidRPr="00211D94">
        <w:rPr>
          <w:rFonts w:cs="Arial"/>
          <w:szCs w:val="24"/>
        </w:rPr>
        <w:t xml:space="preserve"> (PI 10a)</w:t>
      </w:r>
      <w:r w:rsidRPr="00211D94">
        <w:rPr>
          <w:rFonts w:cs="Arial"/>
          <w:szCs w:val="24"/>
        </w:rPr>
        <w:t xml:space="preserve"> przeprowadzono</w:t>
      </w:r>
      <w:r w:rsidR="007D0568" w:rsidRPr="00211D94">
        <w:rPr>
          <w:rFonts w:cs="Arial"/>
          <w:szCs w:val="24"/>
        </w:rPr>
        <w:t xml:space="preserve"> </w:t>
      </w:r>
      <w:r w:rsidR="007D0568" w:rsidRPr="00211D94">
        <w:rPr>
          <w:rFonts w:cs="Arial"/>
          <w:bCs/>
          <w:szCs w:val="24"/>
        </w:rPr>
        <w:t>nabór projektów realizowanych w formule zintegrowanej z projektami w ramach Poddziałania 3.3.1</w:t>
      </w:r>
      <w:r w:rsidR="007D0568" w:rsidRPr="00211D94">
        <w:rPr>
          <w:rFonts w:cs="Arial"/>
          <w:szCs w:val="24"/>
        </w:rPr>
        <w:t xml:space="preserve">. </w:t>
      </w:r>
      <w:r w:rsidR="00753794" w:rsidRPr="00211D94">
        <w:rPr>
          <w:rFonts w:cs="Arial"/>
          <w:szCs w:val="24"/>
        </w:rPr>
        <w:t>„</w:t>
      </w:r>
      <w:r w:rsidR="007D0568" w:rsidRPr="00211D94">
        <w:rPr>
          <w:rFonts w:cs="Arial"/>
          <w:szCs w:val="24"/>
        </w:rPr>
        <w:t>Jakość edukacji zawodowej</w:t>
      </w:r>
      <w:r w:rsidR="00753794" w:rsidRPr="00211D94">
        <w:rPr>
          <w:rFonts w:cs="Arial"/>
          <w:szCs w:val="24"/>
        </w:rPr>
        <w:t>”</w:t>
      </w:r>
      <w:r w:rsidR="007D0568" w:rsidRPr="00211D94">
        <w:rPr>
          <w:rFonts w:cs="Arial"/>
          <w:szCs w:val="24"/>
        </w:rPr>
        <w:t xml:space="preserve"> (PI 10 iv). Na każdy projekt zintegrowany skład</w:t>
      </w:r>
      <w:r w:rsidR="00D67963" w:rsidRPr="00211D94">
        <w:rPr>
          <w:rFonts w:cs="Arial"/>
          <w:szCs w:val="24"/>
        </w:rPr>
        <w:t>ały</w:t>
      </w:r>
      <w:r w:rsidR="007D0568" w:rsidRPr="00211D94">
        <w:rPr>
          <w:rFonts w:cs="Arial"/>
          <w:szCs w:val="24"/>
        </w:rPr>
        <w:t xml:space="preserve"> się dwa pojedyncze projekty: infrastrukturalny – realizowany w ramach Działania 4.1 współfinansowanego ze środków EFRR oraz nieinfrastrukturalny – realizowany w ramach Podziałania 3.3.1. Oba projekty łącznie obejm</w:t>
      </w:r>
      <w:r w:rsidRPr="00211D94">
        <w:rPr>
          <w:rFonts w:cs="Arial"/>
          <w:szCs w:val="24"/>
        </w:rPr>
        <w:t xml:space="preserve">owały </w:t>
      </w:r>
      <w:r w:rsidR="007D0568" w:rsidRPr="00211D94">
        <w:rPr>
          <w:rFonts w:cs="Arial"/>
          <w:szCs w:val="24"/>
        </w:rPr>
        <w:t>realizację kompleksowych działań prowadzących do wzrostu poziomu kwalifikacji zawodowych uczniów ponad</w:t>
      </w:r>
      <w:r w:rsidR="00EA0C03" w:rsidRPr="00211D94">
        <w:rPr>
          <w:rFonts w:cs="Arial"/>
          <w:szCs w:val="24"/>
        </w:rPr>
        <w:t>podstawowej</w:t>
      </w:r>
      <w:r w:rsidR="007D0568" w:rsidRPr="00211D94">
        <w:rPr>
          <w:rFonts w:cs="Arial"/>
          <w:szCs w:val="24"/>
        </w:rPr>
        <w:t xml:space="preserve"> szkoły zawodowej oraz dostosowanie jej wyposażenia i </w:t>
      </w:r>
      <w:bookmarkStart w:id="135" w:name="_Hlk212805212"/>
      <w:r w:rsidR="007D0568" w:rsidRPr="00211D94">
        <w:rPr>
          <w:rFonts w:cs="Arial"/>
          <w:szCs w:val="24"/>
        </w:rPr>
        <w:t xml:space="preserve">infrastruktury do potrzeb kształcenia na rzecz gospodarki. </w:t>
      </w:r>
    </w:p>
    <w:p w14:paraId="2817600F" w14:textId="77777777" w:rsidR="003B7B03" w:rsidRPr="00211D94" w:rsidRDefault="003B7B03" w:rsidP="003B7B03">
      <w:pPr>
        <w:tabs>
          <w:tab w:val="left" w:pos="432"/>
        </w:tabs>
        <w:spacing w:before="120" w:after="120"/>
        <w:rPr>
          <w:rFonts w:cs="Arial"/>
          <w:szCs w:val="24"/>
        </w:rPr>
      </w:pPr>
      <w:bookmarkStart w:id="136" w:name="_Hlk212805362"/>
      <w:r w:rsidRPr="00211D94">
        <w:rPr>
          <w:rFonts w:cs="Arial"/>
          <w:szCs w:val="24"/>
        </w:rPr>
        <w:t>W ramach Działania 4.1 zrealizowano 23 projekty ukierunkowane na kompleksowe wsparcie infrastrukturalne szkół i placówek kształcenia zawodowego. Przedsięwzięcia te były realizowane przez samorządy szczebla powiatowego, obejmując wszystkie powiaty województwa, a także przez Powiatowy Cech Rzemiosł Małych i Średnich Przedsiębiorstw – Związek Pracodawców oraz Pomorską Izbę Rzemieślniczą Małych i Średnich Przedsiębiorstw.</w:t>
      </w:r>
    </w:p>
    <w:p w14:paraId="4F9DB623" w14:textId="36672C9A" w:rsidR="003B7B03" w:rsidRPr="00211D94" w:rsidRDefault="003B7B03" w:rsidP="003B7B03">
      <w:pPr>
        <w:tabs>
          <w:tab w:val="left" w:pos="432"/>
        </w:tabs>
        <w:spacing w:before="120" w:after="120"/>
        <w:rPr>
          <w:rFonts w:cs="Arial"/>
          <w:szCs w:val="24"/>
        </w:rPr>
      </w:pPr>
      <w:r w:rsidRPr="00211D94">
        <w:rPr>
          <w:rFonts w:cs="Arial"/>
          <w:szCs w:val="24"/>
        </w:rPr>
        <w:t>Zakres projektów obejmował przede wszystkim wyposażenie i doposażenie pracowni zawodowych oraz modernizację infrastruktury edukacyjnej poprzez budowę, rozbudowę, przebudowę lub remont obiektów. W wielu przypadkach działania te uzupełniono o dodatkowe formy wsparcia, takie jak szkolenia zawodowe realizowane w ramach instrumentu elastyczności. Zakupione wyposażenie dotyczyło głównie branż kluczowych dla regionu – m.in. branży technologii informacyjno-komunikacyjnej i elektroniki, transportu i logistyki oraz turystyki i sportu. Prace budowlane często obejmowały również dostosowanie przestrzeni do potrzeb osób z niepełnosprawnościami. W efekcie szkoły i placówki zostały doposażone w nowoczesny sprzęt komputerowy, urządzenia elektroniczne i specjalistyczne oprogramowanie, co umożliwiło prowadzenie zajęć w warunkach zbliżonych do rzeczywistego środowiska pracy.</w:t>
      </w:r>
    </w:p>
    <w:p w14:paraId="4F27B7FD" w14:textId="41CA336F" w:rsidR="003B7B03" w:rsidRPr="00211D94" w:rsidRDefault="003B7B03" w:rsidP="003B7B03">
      <w:pPr>
        <w:tabs>
          <w:tab w:val="left" w:pos="432"/>
        </w:tabs>
        <w:spacing w:before="120" w:after="120"/>
        <w:rPr>
          <w:rFonts w:cs="Arial"/>
          <w:szCs w:val="24"/>
        </w:rPr>
      </w:pPr>
      <w:r w:rsidRPr="00211D94">
        <w:rPr>
          <w:rFonts w:cs="Arial"/>
          <w:szCs w:val="24"/>
        </w:rPr>
        <w:t>Realizacja projektów przyczyniła się do znaczącej poprawy jakości i atrakcyjności kształcenia zawodowego, lepszego dopasowania oferty edukacyjnej do potrzeb rynku pracy oraz zwiększenia dostępności nauki w nowoczesnych, dobrze wyposażonych placówkach. W rezultacie wsparciem objęto łącznie 81 obiektów infrastruktury jednostek organizacyjnych systemu oświaty, co stanowi 115,7% wartości docelowej wskaźnika programowego. Przyjęty model wdrażania Działania 4.1 okazał się skuteczny i adekwatny do potrzeb regionalnego systemu kształcenia zawodowego.</w:t>
      </w:r>
    </w:p>
    <w:bookmarkEnd w:id="135"/>
    <w:bookmarkEnd w:id="136"/>
    <w:p w14:paraId="305B0DE6" w14:textId="5BA669A8" w:rsidR="0031116D" w:rsidRPr="00211D94" w:rsidRDefault="007D0568" w:rsidP="003B7B03">
      <w:pPr>
        <w:tabs>
          <w:tab w:val="left" w:pos="432"/>
        </w:tabs>
        <w:spacing w:before="120" w:after="120"/>
        <w:rPr>
          <w:rFonts w:cs="Arial"/>
          <w:szCs w:val="24"/>
        </w:rPr>
      </w:pPr>
      <w:r w:rsidRPr="00211D94">
        <w:rPr>
          <w:rFonts w:cs="Arial"/>
          <w:szCs w:val="24"/>
        </w:rPr>
        <w:t>W Działaniu 4.2</w:t>
      </w:r>
      <w:r w:rsidR="002526A7" w:rsidRPr="00211D94">
        <w:rPr>
          <w:rFonts w:cs="Arial"/>
          <w:szCs w:val="24"/>
        </w:rPr>
        <w:t>.</w:t>
      </w:r>
      <w:r w:rsidRPr="00211D94">
        <w:rPr>
          <w:rFonts w:cs="Arial"/>
          <w:szCs w:val="24"/>
        </w:rPr>
        <w:t xml:space="preserve"> </w:t>
      </w:r>
      <w:r w:rsidR="002E5874" w:rsidRPr="00211D94">
        <w:rPr>
          <w:rFonts w:cs="Arial"/>
          <w:szCs w:val="24"/>
        </w:rPr>
        <w:t>„</w:t>
      </w:r>
      <w:r w:rsidRPr="00211D94">
        <w:rPr>
          <w:rFonts w:cs="Arial"/>
          <w:szCs w:val="24"/>
        </w:rPr>
        <w:t>Infrastruktura uczelni prowadzących kształcenie o profilu praktycznym</w:t>
      </w:r>
      <w:r w:rsidR="002E5874" w:rsidRPr="00211D94">
        <w:rPr>
          <w:rFonts w:cs="Arial"/>
          <w:szCs w:val="24"/>
        </w:rPr>
        <w:t>”</w:t>
      </w:r>
      <w:r w:rsidRPr="00211D94">
        <w:rPr>
          <w:rFonts w:cs="Arial"/>
          <w:szCs w:val="24"/>
        </w:rPr>
        <w:t xml:space="preserve"> (PI 10a) realizowane projekty obejm</w:t>
      </w:r>
      <w:r w:rsidR="00CF1220" w:rsidRPr="00211D94">
        <w:rPr>
          <w:rFonts w:cs="Arial"/>
          <w:szCs w:val="24"/>
        </w:rPr>
        <w:t>owały</w:t>
      </w:r>
      <w:r w:rsidRPr="00211D94">
        <w:rPr>
          <w:rFonts w:cs="Arial"/>
          <w:szCs w:val="24"/>
        </w:rPr>
        <w:t xml:space="preserve"> wyposażenie i doposażenie istniejących obiektów służących prowadzeniu działalności dydaktycznej i obiektów naukowo-badawczych, w tym laboratoriów dydaktycznych, centrów edukacyjno-badawczych, pracowni praktycznych i komputerowych oraz bibliotek. Wsparcie w ramach Działania 4.2 otrzymało 5 uczelni wyższych: Uniwersytet Gdański</w:t>
      </w:r>
      <w:r w:rsidR="00D67963" w:rsidRPr="00211D94">
        <w:rPr>
          <w:rFonts w:cs="Arial"/>
          <w:szCs w:val="24"/>
        </w:rPr>
        <w:t xml:space="preserve"> (dwa projekty)</w:t>
      </w:r>
      <w:r w:rsidRPr="00211D94">
        <w:rPr>
          <w:rFonts w:cs="Arial"/>
          <w:szCs w:val="24"/>
        </w:rPr>
        <w:t>, Gdański Uniwersytet Medyczny, Uniwersytet Morski w Gdyni, Akademia Pomorska w Słupsku oraz Politechnika Gdańska</w:t>
      </w:r>
      <w:r w:rsidR="00EA0C03" w:rsidRPr="00211D94">
        <w:rPr>
          <w:rFonts w:cs="Arial"/>
          <w:szCs w:val="24"/>
        </w:rPr>
        <w:t xml:space="preserve">, które w ramach 5 projektów otrzymały wsparcie na 17 obiektów </w:t>
      </w:r>
      <w:r w:rsidR="001F7AEF" w:rsidRPr="00211D94">
        <w:rPr>
          <w:rFonts w:cs="Arial"/>
          <w:szCs w:val="24"/>
        </w:rPr>
        <w:t>i</w:t>
      </w:r>
      <w:r w:rsidR="00EA0C03" w:rsidRPr="00211D94">
        <w:rPr>
          <w:rFonts w:cs="Arial"/>
          <w:szCs w:val="24"/>
        </w:rPr>
        <w:t>nfrastruktury szkó</w:t>
      </w:r>
      <w:r w:rsidR="00F8085B" w:rsidRPr="00211D94">
        <w:rPr>
          <w:rFonts w:cs="Arial"/>
          <w:szCs w:val="24"/>
        </w:rPr>
        <w:t>ł</w:t>
      </w:r>
      <w:r w:rsidR="00EA0C03" w:rsidRPr="00211D94">
        <w:rPr>
          <w:rFonts w:cs="Arial"/>
          <w:szCs w:val="24"/>
        </w:rPr>
        <w:t xml:space="preserve"> wyższych (170% wartości docelowej). W wyniku wdrożonej interwencji osiągnięto efekty w postaci poprawy jakości oferty kształcenia praktycznego szkół wyższych oraz poszerzenia oferty kształcenia praktycznego szkół wyższych</w:t>
      </w:r>
      <w:r w:rsidR="00D67963" w:rsidRPr="00211D94">
        <w:rPr>
          <w:rFonts w:cs="Arial"/>
          <w:szCs w:val="24"/>
        </w:rPr>
        <w:t>.</w:t>
      </w:r>
    </w:p>
    <w:p w14:paraId="72902D37" w14:textId="3018F7F3" w:rsidR="007D0568" w:rsidRPr="00211D94" w:rsidRDefault="00D67963" w:rsidP="00F55865">
      <w:pPr>
        <w:tabs>
          <w:tab w:val="left" w:pos="432"/>
        </w:tabs>
        <w:spacing w:before="120" w:after="120"/>
        <w:rPr>
          <w:rFonts w:cs="Arial"/>
          <w:szCs w:val="24"/>
        </w:rPr>
      </w:pPr>
      <w:r w:rsidRPr="00211D94">
        <w:rPr>
          <w:rFonts w:cs="Arial"/>
          <w:szCs w:val="24"/>
        </w:rPr>
        <w:t>Duża skuteczność wsparcia została potwierdzona wysokim stopniem realizacji wskaźników. W</w:t>
      </w:r>
      <w:r w:rsidR="007D0568" w:rsidRPr="00211D94">
        <w:rPr>
          <w:rFonts w:cs="Arial"/>
          <w:szCs w:val="24"/>
        </w:rPr>
        <w:t>artości docelowe wskaźników zakładane w Programie zosta</w:t>
      </w:r>
      <w:r w:rsidRPr="00211D94">
        <w:rPr>
          <w:rFonts w:cs="Arial"/>
          <w:szCs w:val="24"/>
        </w:rPr>
        <w:t xml:space="preserve">ły </w:t>
      </w:r>
      <w:r w:rsidR="007D0568" w:rsidRPr="00211D94">
        <w:rPr>
          <w:rFonts w:cs="Arial"/>
          <w:szCs w:val="24"/>
        </w:rPr>
        <w:t xml:space="preserve">znacznie przekroczone, co wynika z zastosowania modelu przedsięwzięcia strategicznego, w ramach którego zarówno kształt jak i skala interwencji podlegały negocjacjom z organami prowadzącymi kształcenie zawodowe. Ponadto dzięki realizacji projektów zintegrowanych możliwa była optymalizacja kosztów związanych z modernizacją zespołów szkół tworzących regionalną sieć kształcenia. </w:t>
      </w:r>
    </w:p>
    <w:p w14:paraId="20239563" w14:textId="43C818D1" w:rsidR="007D0568" w:rsidRPr="00211D94" w:rsidRDefault="007D0568" w:rsidP="00F55865">
      <w:pPr>
        <w:spacing w:before="120" w:after="120"/>
        <w:rPr>
          <w:rFonts w:cs="Arial"/>
          <w:szCs w:val="24"/>
        </w:rPr>
      </w:pPr>
      <w:r w:rsidRPr="00211D94">
        <w:rPr>
          <w:rFonts w:cs="Arial"/>
          <w:szCs w:val="24"/>
        </w:rPr>
        <w:t>Podkreślić należy, iż w ramach wszystkich zakresów interwencji potencjał kształcenia praktycznego ukierunkowywano zgodnie z wymaganiami rynku pracy. W każdym ze wspartych powiatów modernizacja infrastruktury skutkowała przygotowaniem szkół do rozwijania oferty nowych kierunków kształcenia. Wsparta infrastruktura wspiera</w:t>
      </w:r>
      <w:r w:rsidR="00D67963" w:rsidRPr="00211D94">
        <w:rPr>
          <w:rFonts w:cs="Arial"/>
          <w:szCs w:val="24"/>
        </w:rPr>
        <w:t>ła</w:t>
      </w:r>
      <w:r w:rsidRPr="00211D94">
        <w:rPr>
          <w:rFonts w:cs="Arial"/>
          <w:szCs w:val="24"/>
        </w:rPr>
        <w:t xml:space="preserve"> ISP w zakresie technologii </w:t>
      </w:r>
      <w:proofErr w:type="spellStart"/>
      <w:r w:rsidRPr="00211D94">
        <w:rPr>
          <w:rFonts w:cs="Arial"/>
          <w:szCs w:val="24"/>
        </w:rPr>
        <w:t>offshore</w:t>
      </w:r>
      <w:proofErr w:type="spellEnd"/>
      <w:r w:rsidRPr="00211D94">
        <w:rPr>
          <w:rFonts w:cs="Arial"/>
          <w:szCs w:val="24"/>
        </w:rPr>
        <w:t xml:space="preserve"> i portowo-logistycznych, technologii interaktywnych, technologii </w:t>
      </w:r>
      <w:proofErr w:type="spellStart"/>
      <w:r w:rsidRPr="00211D94">
        <w:rPr>
          <w:rFonts w:cs="Arial"/>
          <w:szCs w:val="24"/>
        </w:rPr>
        <w:t>ekoefektywnych</w:t>
      </w:r>
      <w:proofErr w:type="spellEnd"/>
      <w:r w:rsidRPr="00211D94">
        <w:rPr>
          <w:rFonts w:cs="Arial"/>
          <w:szCs w:val="24"/>
        </w:rPr>
        <w:t xml:space="preserve"> i pośrednio – poprzez wsparcie kierunków kształcenia w zawodach chemicznych – w zakresie technologii medycznych. </w:t>
      </w:r>
    </w:p>
    <w:p w14:paraId="38DDE646" w14:textId="5F79053F" w:rsidR="007D0568" w:rsidRPr="00211D94" w:rsidRDefault="007D0568" w:rsidP="00F55865">
      <w:pPr>
        <w:spacing w:before="120" w:after="120"/>
        <w:rPr>
          <w:rFonts w:cs="Arial"/>
          <w:szCs w:val="24"/>
        </w:rPr>
      </w:pPr>
      <w:r w:rsidRPr="00211D94">
        <w:rPr>
          <w:rFonts w:cs="Arial"/>
          <w:szCs w:val="24"/>
        </w:rPr>
        <w:t>Wszystkie przeprowadz</w:t>
      </w:r>
      <w:r w:rsidR="00D67963" w:rsidRPr="00211D94">
        <w:rPr>
          <w:rFonts w:cs="Arial"/>
          <w:szCs w:val="24"/>
        </w:rPr>
        <w:t>o</w:t>
      </w:r>
      <w:r w:rsidRPr="00211D94">
        <w:rPr>
          <w:rFonts w:cs="Arial"/>
          <w:szCs w:val="24"/>
        </w:rPr>
        <w:t>ne inwestycje modernizują kierunki kształcenia zgodne z tendencjami rynku pracy, zapotrzebowaniem regionalnych pracodawców na konkretne umiejętności absolwentów. Zakres i charakter interwencji Działania 4.1 zmniejsza zróżnicowanie wewnątrzregionalne w dostępie do zmodernizowanej infrastruktury kształcenia praktycznego. Ponadto wspiera dostosowanie oferty kształcenia zawodowego do potrzeb rynku pracy oraz wyzwań rozwojowych regionu w obrębie ISP. Zawarty w Działaniu 4.2 system preferencji i ukierunkowania terytorialnego okazał się trafny. Przyczynia się on do wysokiej użyteczności realizowanego wsparcia w zakresie wzmocnienia inteligentnych specjalizacji regionu i powiązania szkolnictwa wyższego z IOB i rynkiem pracy, zwiększa potencjał kształcenia zawodowego w Akademii Pomorskiej w Słupsku, co powoduje zmniejszenie różnic wewnątrzregionalnych w dostępie do wysokiej jakości kształcenia zawodowego na poziomie wyższym.</w:t>
      </w:r>
    </w:p>
    <w:p w14:paraId="7D3FCACA" w14:textId="51CB868F" w:rsidR="00F55865" w:rsidRPr="00211D94" w:rsidRDefault="00F55865" w:rsidP="00F55865">
      <w:pPr>
        <w:tabs>
          <w:tab w:val="left" w:pos="432"/>
        </w:tabs>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BA7E0B" w:rsidRPr="00211D94">
        <w:rPr>
          <w:rFonts w:cs="Arial"/>
          <w:szCs w:val="24"/>
        </w:rPr>
        <w:t>OP</w:t>
      </w:r>
      <w:r w:rsidRPr="00211D94">
        <w:rPr>
          <w:rFonts w:cs="Arial"/>
          <w:szCs w:val="24"/>
        </w:rPr>
        <w:t>4 RPO WP Instytucja Zarządzająca dysponuje danymi za rok 2023. Osiągnięte wartości kształtują się następująco:</w:t>
      </w:r>
    </w:p>
    <w:p w14:paraId="1353A710" w14:textId="77777777" w:rsidR="00F55865" w:rsidRPr="00211D94" w:rsidRDefault="00F55865" w:rsidP="00F55865">
      <w:pPr>
        <w:pStyle w:val="Akapitzlist"/>
        <w:numPr>
          <w:ilvl w:val="0"/>
          <w:numId w:val="47"/>
        </w:numPr>
        <w:tabs>
          <w:tab w:val="left" w:pos="432"/>
        </w:tabs>
        <w:spacing w:before="120" w:after="120" w:line="276" w:lineRule="auto"/>
        <w:rPr>
          <w:rFonts w:cs="Arial"/>
          <w:szCs w:val="24"/>
        </w:rPr>
      </w:pPr>
      <w:r w:rsidRPr="00211D94">
        <w:rPr>
          <w:rFonts w:cs="Arial"/>
          <w:szCs w:val="24"/>
        </w:rPr>
        <w:t>Odsetek zarejestrowanych bezrobotnych z wykształceniem zasadniczym zawodowym – 25,0%, przy wartości docelowej 27,5%;</w:t>
      </w:r>
    </w:p>
    <w:p w14:paraId="0B3CD813" w14:textId="77777777" w:rsidR="00F55865" w:rsidRPr="00211D94" w:rsidRDefault="00F55865" w:rsidP="00F55865">
      <w:pPr>
        <w:pStyle w:val="Akapitzlist"/>
        <w:numPr>
          <w:ilvl w:val="0"/>
          <w:numId w:val="47"/>
        </w:numPr>
        <w:tabs>
          <w:tab w:val="left" w:pos="432"/>
        </w:tabs>
        <w:spacing w:before="120" w:after="120" w:line="276" w:lineRule="auto"/>
        <w:rPr>
          <w:rFonts w:cs="Arial"/>
          <w:szCs w:val="24"/>
        </w:rPr>
      </w:pPr>
      <w:r w:rsidRPr="00211D94">
        <w:rPr>
          <w:rFonts w:cs="Arial"/>
          <w:szCs w:val="24"/>
        </w:rPr>
        <w:t>Odsetek zarejestrowanych bezrobotnych z wykształceniem policealnym i średnim technicznym – 20,8%, przy wartości docelowej 19,8%;</w:t>
      </w:r>
    </w:p>
    <w:p w14:paraId="3839FA6A" w14:textId="77777777" w:rsidR="00F55865" w:rsidRPr="00211D94" w:rsidRDefault="00F55865" w:rsidP="00F55865">
      <w:pPr>
        <w:pStyle w:val="Akapitzlist"/>
        <w:numPr>
          <w:ilvl w:val="0"/>
          <w:numId w:val="47"/>
        </w:numPr>
        <w:tabs>
          <w:tab w:val="left" w:pos="432"/>
        </w:tabs>
        <w:spacing w:before="120" w:after="120" w:line="276" w:lineRule="auto"/>
        <w:rPr>
          <w:rFonts w:cs="Arial"/>
          <w:szCs w:val="24"/>
        </w:rPr>
      </w:pPr>
      <w:r w:rsidRPr="00211D94">
        <w:rPr>
          <w:rFonts w:cs="Arial"/>
          <w:szCs w:val="24"/>
        </w:rPr>
        <w:t xml:space="preserve">Odsetek zarejestrowanych bezrobotnych absolwentów szkół wyższych w </w:t>
      </w:r>
      <w:proofErr w:type="spellStart"/>
      <w:r w:rsidRPr="00211D94">
        <w:rPr>
          <w:rFonts w:cs="Arial"/>
          <w:szCs w:val="24"/>
        </w:rPr>
        <w:t>subregionalnych</w:t>
      </w:r>
      <w:proofErr w:type="spellEnd"/>
      <w:r w:rsidRPr="00211D94">
        <w:rPr>
          <w:rFonts w:cs="Arial"/>
          <w:szCs w:val="24"/>
        </w:rPr>
        <w:t xml:space="preserve"> ośrodkach akademickich – 3,6%, przy wartości docelowej 15,5%.</w:t>
      </w:r>
    </w:p>
    <w:p w14:paraId="2348801D" w14:textId="7DD29EBD" w:rsidR="00F55865" w:rsidRPr="00211D94" w:rsidRDefault="00F55865" w:rsidP="00F55865">
      <w:pPr>
        <w:tabs>
          <w:tab w:val="left" w:pos="432"/>
        </w:tabs>
        <w:spacing w:before="120" w:after="120"/>
        <w:rPr>
          <w:rFonts w:cs="Arial"/>
          <w:szCs w:val="24"/>
        </w:rPr>
      </w:pPr>
      <w:r w:rsidRPr="00211D94">
        <w:rPr>
          <w:rFonts w:cs="Arial"/>
          <w:szCs w:val="24"/>
        </w:rPr>
        <w:t xml:space="preserve">Wszystkie analizowane wskaźniki rezultatu dla </w:t>
      </w:r>
      <w:r w:rsidR="002526A7" w:rsidRPr="00211D94">
        <w:rPr>
          <w:rFonts w:cs="Arial"/>
          <w:szCs w:val="24"/>
        </w:rPr>
        <w:t>OP</w:t>
      </w:r>
      <w:r w:rsidRPr="00211D94">
        <w:rPr>
          <w:rFonts w:cs="Arial"/>
          <w:szCs w:val="24"/>
        </w:rPr>
        <w:t>4 wskazują na poprawę sytuacji na rynku pracy w województwie pomorskim</w:t>
      </w:r>
      <w:r w:rsidR="000073C9" w:rsidRPr="00211D94">
        <w:rPr>
          <w:rFonts w:cs="Arial"/>
          <w:szCs w:val="24"/>
        </w:rPr>
        <w:t xml:space="preserve">, choć wskaźnik </w:t>
      </w:r>
      <w:r w:rsidR="002E5874" w:rsidRPr="00211D94">
        <w:rPr>
          <w:rFonts w:cs="Arial"/>
          <w:szCs w:val="24"/>
        </w:rPr>
        <w:t>„</w:t>
      </w:r>
      <w:r w:rsidR="000073C9" w:rsidRPr="00211D94">
        <w:rPr>
          <w:rFonts w:cs="Arial"/>
          <w:szCs w:val="24"/>
        </w:rPr>
        <w:t>Odsetek zarejestrowanych bezrobotnych z wykształceniem policealnym i średnim technicznym</w:t>
      </w:r>
      <w:r w:rsidR="002E5874" w:rsidRPr="00211D94">
        <w:rPr>
          <w:rFonts w:cs="Arial"/>
          <w:szCs w:val="24"/>
        </w:rPr>
        <w:t>”</w:t>
      </w:r>
      <w:r w:rsidR="000073C9" w:rsidRPr="00211D94">
        <w:rPr>
          <w:rFonts w:cs="Arial"/>
          <w:szCs w:val="24"/>
        </w:rPr>
        <w:t xml:space="preserve"> nie osiągnął zakładanego celu. Jednocześnie szczególnie </w:t>
      </w:r>
      <w:r w:rsidRPr="00211D94">
        <w:rPr>
          <w:rFonts w:cs="Arial"/>
          <w:szCs w:val="24"/>
        </w:rPr>
        <w:t>korzystny jest niski odsetek bezrobotnych wśród absolwentów szkół wyższych (3,6%), co dowodzi rosnącej efektywności lokalnych ośrodków akademickich oraz lepszego dopasowania kompetencji absolwentów do potrzeb gospodarki regionalnej.</w:t>
      </w:r>
    </w:p>
    <w:p w14:paraId="2F679694" w14:textId="77777777" w:rsidR="00F55865" w:rsidRPr="00211D94" w:rsidRDefault="00F55865" w:rsidP="00F55865">
      <w:pPr>
        <w:tabs>
          <w:tab w:val="left" w:pos="432"/>
        </w:tabs>
        <w:spacing w:before="120" w:after="120"/>
        <w:rPr>
          <w:rFonts w:cs="Arial"/>
          <w:szCs w:val="24"/>
        </w:rPr>
      </w:pPr>
      <w:r w:rsidRPr="00211D94">
        <w:rPr>
          <w:rFonts w:cs="Arial"/>
          <w:szCs w:val="24"/>
        </w:rPr>
        <w:t>Odsetek osób z wykształceniem zasadniczym zawodowym również spadł poniżej wartości docelowej, co potwierdza skuteczność działań ukierunkowanych na podnoszenie kwalifikacji i aktywizację zawodową.</w:t>
      </w:r>
    </w:p>
    <w:p w14:paraId="34086E87" w14:textId="4448D2CA" w:rsidR="00F55865" w:rsidRPr="00211D94" w:rsidRDefault="00F55865" w:rsidP="00F55865">
      <w:pPr>
        <w:tabs>
          <w:tab w:val="left" w:pos="432"/>
        </w:tabs>
        <w:spacing w:before="120" w:after="120"/>
        <w:rPr>
          <w:rFonts w:cs="Arial"/>
          <w:szCs w:val="24"/>
        </w:rPr>
      </w:pPr>
      <w:r w:rsidRPr="00211D94">
        <w:rPr>
          <w:rFonts w:cs="Arial"/>
          <w:szCs w:val="24"/>
        </w:rPr>
        <w:t>W przypadku osób z wykształceniem policealnym i średnim technicznym wskaźnik jest bliski celu, co świadczy o stabilnej sytuacji tej grupy na rynku pracy.</w:t>
      </w:r>
    </w:p>
    <w:p w14:paraId="428504D0" w14:textId="3E8DB135" w:rsidR="00F55865" w:rsidRPr="00211D94" w:rsidRDefault="00F55865" w:rsidP="00F55865">
      <w:pPr>
        <w:tabs>
          <w:tab w:val="left" w:pos="432"/>
        </w:tabs>
        <w:spacing w:before="120" w:after="120"/>
        <w:rPr>
          <w:rFonts w:cs="Arial"/>
          <w:szCs w:val="24"/>
        </w:rPr>
      </w:pPr>
      <w:r w:rsidRPr="00211D94">
        <w:rPr>
          <w:rFonts w:cs="Arial"/>
          <w:szCs w:val="24"/>
        </w:rPr>
        <w:t>Osiągnięcie tak dobrych wyników nastąpiło pomimo trudnych warunków zewnętrznych – w szczególności pandemii COVID-19, która czasowo ograniczyła aktywność zawodową, oraz agresji Rosji na Ukrainę, która wpłynęła na rynek pracy poprzez napływ uchodźców i wahania gospodarcze.</w:t>
      </w:r>
    </w:p>
    <w:p w14:paraId="59ED3CBB" w14:textId="463AF4CA" w:rsidR="00F55865" w:rsidRPr="00211D94" w:rsidRDefault="00F55865" w:rsidP="00F55865">
      <w:pPr>
        <w:tabs>
          <w:tab w:val="left" w:pos="432"/>
        </w:tabs>
        <w:spacing w:before="120" w:after="120"/>
        <w:rPr>
          <w:rFonts w:cs="Arial"/>
          <w:szCs w:val="24"/>
        </w:rPr>
      </w:pPr>
      <w:r w:rsidRPr="00211D94">
        <w:rPr>
          <w:rFonts w:cs="Arial"/>
          <w:szCs w:val="24"/>
        </w:rPr>
        <w:t xml:space="preserve">Ogólny poziom realizacji celów </w:t>
      </w:r>
      <w:r w:rsidR="00DA4AD3" w:rsidRPr="00211D94">
        <w:rPr>
          <w:rFonts w:cs="Arial"/>
          <w:szCs w:val="24"/>
        </w:rPr>
        <w:t>OP</w:t>
      </w:r>
      <w:r w:rsidRPr="00211D94">
        <w:rPr>
          <w:rFonts w:cs="Arial"/>
          <w:szCs w:val="24"/>
        </w:rPr>
        <w:t>4 można ocenić jako bardzo dobry. Wskaźniki pokazują wyraźną poprawę sytuacji zawodowej mieszkańców regionu, szczególnie w grupach młodych i absolwentów, co wskazuje na skuteczność działań wspierających zatrudnienie i rozwój kompetencji w ramach RPO WP.</w:t>
      </w:r>
    </w:p>
    <w:p w14:paraId="33D7CC8B" w14:textId="7978D477" w:rsidR="007D0568" w:rsidRPr="00211D94" w:rsidRDefault="007D0568" w:rsidP="00F55865">
      <w:pPr>
        <w:pStyle w:val="Nagwek2"/>
        <w:spacing w:before="120" w:after="120"/>
        <w:rPr>
          <w:rFonts w:eastAsia="Calibri" w:cs="Arial"/>
          <w:sz w:val="24"/>
          <w:szCs w:val="24"/>
        </w:rPr>
      </w:pPr>
      <w:bookmarkStart w:id="137" w:name="_Toc9418242"/>
      <w:bookmarkStart w:id="138" w:name="_Toc214025285"/>
      <w:r w:rsidRPr="00211D94">
        <w:rPr>
          <w:rFonts w:eastAsia="Calibri" w:cs="Arial"/>
          <w:sz w:val="24"/>
          <w:szCs w:val="24"/>
        </w:rPr>
        <w:t>OP5</w:t>
      </w:r>
      <w:r w:rsidR="00D108E9" w:rsidRPr="00211D94">
        <w:rPr>
          <w:rFonts w:eastAsia="Calibri" w:cs="Arial"/>
          <w:sz w:val="24"/>
          <w:szCs w:val="24"/>
        </w:rPr>
        <w:t>.</w:t>
      </w:r>
      <w:r w:rsidRPr="00211D94">
        <w:rPr>
          <w:rFonts w:eastAsia="Calibri" w:cs="Arial"/>
          <w:sz w:val="24"/>
          <w:szCs w:val="24"/>
        </w:rPr>
        <w:t xml:space="preserve"> ZATRUDNIENIE</w:t>
      </w:r>
      <w:bookmarkEnd w:id="137"/>
      <w:bookmarkEnd w:id="138"/>
    </w:p>
    <w:tbl>
      <w:tblPr>
        <w:tblW w:w="0" w:type="auto"/>
        <w:tblLook w:val="04A0" w:firstRow="1" w:lastRow="0" w:firstColumn="1" w:lastColumn="0" w:noHBand="0" w:noVBand="1"/>
      </w:tblPr>
      <w:tblGrid>
        <w:gridCol w:w="1506"/>
        <w:gridCol w:w="7566"/>
      </w:tblGrid>
      <w:tr w:rsidR="007D0568" w:rsidRPr="00211D94" w14:paraId="78023B1B" w14:textId="77777777" w:rsidTr="007D0568">
        <w:tc>
          <w:tcPr>
            <w:tcW w:w="1506" w:type="dxa"/>
            <w:shd w:val="clear" w:color="auto" w:fill="auto"/>
          </w:tcPr>
          <w:p w14:paraId="78CEC46A" w14:textId="3C06470A" w:rsidR="007D0568" w:rsidRPr="00211D94" w:rsidRDefault="007D0568" w:rsidP="00F55865">
            <w:pPr>
              <w:spacing w:before="120" w:after="120"/>
              <w:rPr>
                <w:rFonts w:cs="Arial"/>
                <w:b/>
                <w:color w:val="ED7D31"/>
                <w:szCs w:val="24"/>
              </w:rPr>
            </w:pPr>
            <w:r w:rsidRPr="00211D94">
              <w:rPr>
                <w:rFonts w:cs="Arial"/>
                <w:b/>
                <w:noProof/>
                <w:color w:val="ED7D31"/>
                <w:szCs w:val="24"/>
                <w:lang w:eastAsia="pl-PL"/>
              </w:rPr>
              <w:drawing>
                <wp:inline distT="0" distB="0" distL="0" distR="0" wp14:anchorId="74B28FA1" wp14:editId="26C28B0B">
                  <wp:extent cx="819150" cy="795655"/>
                  <wp:effectExtent l="0" t="0" r="0" b="4445"/>
                  <wp:docPr id="24" name="Obraz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795655"/>
                          </a:xfrm>
                          <a:prstGeom prst="rect">
                            <a:avLst/>
                          </a:prstGeom>
                          <a:noFill/>
                          <a:ln>
                            <a:noFill/>
                          </a:ln>
                        </pic:spPr>
                      </pic:pic>
                    </a:graphicData>
                  </a:graphic>
                </wp:inline>
              </w:drawing>
            </w:r>
          </w:p>
        </w:tc>
        <w:tc>
          <w:tcPr>
            <w:tcW w:w="7566" w:type="dxa"/>
            <w:shd w:val="clear" w:color="auto" w:fill="auto"/>
          </w:tcPr>
          <w:p w14:paraId="2F520122" w14:textId="6DDE4965" w:rsidR="007D0568" w:rsidRPr="00211D94" w:rsidRDefault="007D0568" w:rsidP="00F55865">
            <w:pPr>
              <w:spacing w:before="120" w:after="120"/>
              <w:rPr>
                <w:rFonts w:cs="Arial"/>
                <w:b/>
                <w:szCs w:val="24"/>
              </w:rPr>
            </w:pPr>
            <w:r w:rsidRPr="00211D94">
              <w:rPr>
                <w:rFonts w:cs="Arial"/>
                <w:szCs w:val="24"/>
              </w:rPr>
              <w:t>OP5 odpowiada</w:t>
            </w:r>
            <w:r w:rsidR="000073C9" w:rsidRPr="00211D94">
              <w:rPr>
                <w:rFonts w:cs="Arial"/>
                <w:szCs w:val="24"/>
              </w:rPr>
              <w:t>ła</w:t>
            </w:r>
            <w:r w:rsidRPr="00211D94">
              <w:rPr>
                <w:rFonts w:cs="Arial"/>
                <w:szCs w:val="24"/>
              </w:rPr>
              <w:t xml:space="preserve"> na wyzwania dot. zwiększenia zatrudnienia, poprawy stanu zdrowia, wzrostu kompetencji mieszkańców dla lepszego wykorzystania potencjału poprzez przedsięwzięcia ukierunkowane na aktywizację zawodową os. pozostających bez pracy, rozwój przedsiębiorczości, godzenie życia zawodowego i prywatnego, kształcenie ustawiczne os. w wieku aktywności zawodowej, poprawę sytuacji na rynku pracy pracowników zakładów pracy przechodzących restrukturyzację i realizację programów zdrowotnych.</w:t>
            </w:r>
          </w:p>
        </w:tc>
      </w:tr>
    </w:tbl>
    <w:p w14:paraId="23692E4D" w14:textId="77777777" w:rsidR="00F21B81" w:rsidRPr="00211D94" w:rsidRDefault="00F21B81" w:rsidP="00F21B81">
      <w:pPr>
        <w:tabs>
          <w:tab w:val="left" w:pos="432"/>
        </w:tabs>
        <w:spacing w:before="120" w:after="120"/>
        <w:rPr>
          <w:rFonts w:cs="Arial"/>
          <w:szCs w:val="24"/>
        </w:rPr>
      </w:pPr>
      <w:bookmarkStart w:id="139" w:name="_Toc482339638"/>
      <w:bookmarkStart w:id="140" w:name="_Toc482340016"/>
      <w:bookmarkStart w:id="141" w:name="_Toc482784954"/>
      <w:bookmarkStart w:id="142" w:name="_Toc484443226"/>
      <w:bookmarkStart w:id="143" w:name="_Toc9418243"/>
      <w:r w:rsidRPr="00211D94">
        <w:rPr>
          <w:rFonts w:cs="Arial"/>
          <w:szCs w:val="24"/>
        </w:rPr>
        <w:t>Charakterystyka i wnioski</w:t>
      </w:r>
    </w:p>
    <w:p w14:paraId="0E607FD8" w14:textId="2C14066E" w:rsidR="008A1B39" w:rsidRPr="00211D94" w:rsidRDefault="008A1B39" w:rsidP="008A1B39">
      <w:pPr>
        <w:tabs>
          <w:tab w:val="left" w:pos="432"/>
        </w:tabs>
        <w:spacing w:before="120" w:after="120"/>
        <w:rPr>
          <w:rFonts w:cs="Arial"/>
          <w:szCs w:val="24"/>
        </w:rPr>
      </w:pPr>
      <w:r w:rsidRPr="00211D94">
        <w:rPr>
          <w:rFonts w:cs="Arial"/>
          <w:szCs w:val="24"/>
        </w:rPr>
        <w:t xml:space="preserve">W ramach OP5 podpisano </w:t>
      </w:r>
      <w:r w:rsidRPr="00211D94">
        <w:rPr>
          <w:rFonts w:cs="Arial"/>
          <w:b/>
          <w:szCs w:val="24"/>
        </w:rPr>
        <w:t xml:space="preserve">513 </w:t>
      </w:r>
      <w:r w:rsidRPr="00211D94">
        <w:rPr>
          <w:rFonts w:cs="Arial"/>
          <w:szCs w:val="24"/>
        </w:rPr>
        <w:t xml:space="preserve">umów o łącznej wartości </w:t>
      </w:r>
      <w:r w:rsidRPr="00211D94">
        <w:rPr>
          <w:rFonts w:cs="Arial"/>
          <w:b/>
          <w:szCs w:val="24"/>
        </w:rPr>
        <w:t>257 282 414 EUR</w:t>
      </w:r>
      <w:r w:rsidRPr="00211D94">
        <w:rPr>
          <w:rFonts w:cs="Arial"/>
          <w:szCs w:val="24"/>
        </w:rPr>
        <w:t xml:space="preserve">, w tym dofinansowanie z UE – </w:t>
      </w:r>
      <w:r w:rsidRPr="00211D94">
        <w:rPr>
          <w:rFonts w:cs="Arial"/>
          <w:b/>
          <w:szCs w:val="24"/>
        </w:rPr>
        <w:t>218 690 054 EUR</w:t>
      </w:r>
      <w:r w:rsidRPr="00211D94">
        <w:rPr>
          <w:rFonts w:cs="Arial"/>
          <w:szCs w:val="24"/>
        </w:rPr>
        <w:t>. Kontraktacja osiągnęła poziom 111,3% alokacji.</w:t>
      </w:r>
    </w:p>
    <w:p w14:paraId="27153D57" w14:textId="77777777" w:rsidR="008A1B39" w:rsidRPr="00211D94" w:rsidRDefault="008A1B39" w:rsidP="008A1B39">
      <w:pPr>
        <w:tabs>
          <w:tab w:val="left" w:pos="432"/>
        </w:tabs>
        <w:spacing w:before="120" w:after="120"/>
        <w:rPr>
          <w:rFonts w:cs="Arial"/>
          <w:szCs w:val="24"/>
        </w:rPr>
      </w:pPr>
      <w:r w:rsidRPr="00211D94">
        <w:rPr>
          <w:rFonts w:cs="Arial"/>
          <w:szCs w:val="24"/>
        </w:rPr>
        <w:t xml:space="preserve">W ramach wniosków o płatność uznano wydatki kwalifikowalne w wysokości </w:t>
      </w:r>
      <w:r w:rsidRPr="00211D94">
        <w:rPr>
          <w:rFonts w:cs="Arial"/>
          <w:b/>
          <w:szCs w:val="24"/>
        </w:rPr>
        <w:t>241 774 130 EUR</w:t>
      </w:r>
      <w:r w:rsidRPr="00211D94">
        <w:rPr>
          <w:rFonts w:cs="Arial"/>
          <w:szCs w:val="24"/>
        </w:rPr>
        <w:t xml:space="preserve"> (dofinansowanie UE </w:t>
      </w:r>
      <w:r w:rsidRPr="00211D94">
        <w:rPr>
          <w:rFonts w:cs="Arial"/>
          <w:b/>
          <w:szCs w:val="24"/>
        </w:rPr>
        <w:t>205 450 256 EUR</w:t>
      </w:r>
      <w:r w:rsidRPr="00211D94">
        <w:rPr>
          <w:rFonts w:cs="Arial"/>
          <w:szCs w:val="24"/>
        </w:rPr>
        <w:t xml:space="preserve">), co stanowi </w:t>
      </w:r>
      <w:r w:rsidRPr="00211D94">
        <w:rPr>
          <w:rFonts w:cs="Arial"/>
          <w:b/>
          <w:szCs w:val="24"/>
        </w:rPr>
        <w:t>104,6%</w:t>
      </w:r>
      <w:r w:rsidRPr="00211D94">
        <w:rPr>
          <w:rFonts w:cs="Arial"/>
          <w:szCs w:val="24"/>
        </w:rPr>
        <w:t xml:space="preserve"> alokacji. Liczba uczestników objętych wsparciem wyniosła 224 600, w tym: osoby bezrobotne – 23,62% (53 000), bierne zawodowo – 18,80% (42 200), pracujące – 57,58% (129 300). Wsparciem objęto również 13 200 osób z niepełnosprawnościami (5,9%) i 81 600 z obszarów wiejskich (36,33%).</w:t>
      </w:r>
    </w:p>
    <w:p w14:paraId="58AB10B5" w14:textId="40CB259E" w:rsidR="008A1B39" w:rsidRPr="00211D94" w:rsidRDefault="008A1B39" w:rsidP="008A1B39">
      <w:pPr>
        <w:tabs>
          <w:tab w:val="left" w:pos="432"/>
        </w:tabs>
        <w:spacing w:before="120" w:after="120"/>
        <w:rPr>
          <w:rFonts w:cs="Arial"/>
          <w:bCs/>
          <w:szCs w:val="24"/>
        </w:rPr>
      </w:pPr>
      <w:r w:rsidRPr="00211D94">
        <w:rPr>
          <w:rFonts w:cs="Arial"/>
          <w:bCs/>
          <w:szCs w:val="24"/>
        </w:rPr>
        <w:t>Specyficzne dla Programu wskaźników produktu (Tabela 4B):</w:t>
      </w:r>
    </w:p>
    <w:p w14:paraId="04D6512C"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8i </w:t>
      </w:r>
      <w:r w:rsidRPr="00211D94">
        <w:rPr>
          <w:rFonts w:cs="Arial"/>
          <w:bCs/>
          <w:szCs w:val="24"/>
        </w:rPr>
        <w:t>– osoby w wieku 50 lat i więcej, osoby o niskich kwalifikacjach, osoby podejmujące działalność gospodarczą</w:t>
      </w:r>
    </w:p>
    <w:p w14:paraId="2CF4BE62" w14:textId="77777777" w:rsidR="007172E8" w:rsidRPr="00211D94" w:rsidRDefault="007172E8" w:rsidP="007172E8">
      <w:pPr>
        <w:numPr>
          <w:ilvl w:val="0"/>
          <w:numId w:val="76"/>
        </w:numPr>
        <w:tabs>
          <w:tab w:val="left" w:pos="432"/>
        </w:tabs>
        <w:spacing w:before="120" w:after="120"/>
        <w:rPr>
          <w:rFonts w:cs="Arial"/>
          <w:szCs w:val="24"/>
        </w:rPr>
      </w:pPr>
      <w:r>
        <w:rPr>
          <w:rFonts w:cs="Arial"/>
          <w:szCs w:val="24"/>
        </w:rPr>
        <w:t xml:space="preserve">11 750 </w:t>
      </w:r>
      <w:r w:rsidRPr="00211D94">
        <w:rPr>
          <w:rFonts w:cs="Arial"/>
          <w:szCs w:val="24"/>
        </w:rPr>
        <w:t>os</w:t>
      </w:r>
      <w:r>
        <w:rPr>
          <w:rFonts w:cs="Arial"/>
          <w:szCs w:val="24"/>
        </w:rPr>
        <w:t>ób</w:t>
      </w:r>
      <w:r w:rsidRPr="00211D94">
        <w:rPr>
          <w:rFonts w:cs="Arial"/>
          <w:szCs w:val="24"/>
        </w:rPr>
        <w:t xml:space="preserve"> w wieku 50+ objęt</w:t>
      </w:r>
      <w:r>
        <w:rPr>
          <w:rFonts w:cs="Arial"/>
          <w:szCs w:val="24"/>
        </w:rPr>
        <w:t>ych</w:t>
      </w:r>
      <w:r w:rsidRPr="00211D94">
        <w:rPr>
          <w:rFonts w:cs="Arial"/>
          <w:szCs w:val="24"/>
        </w:rPr>
        <w:t xml:space="preserve"> wsparciem – 244,8% </w:t>
      </w:r>
      <w:r>
        <w:rPr>
          <w:rFonts w:cs="Arial"/>
          <w:szCs w:val="24"/>
        </w:rPr>
        <w:t>wartości docelowej w Programie</w:t>
      </w:r>
      <w:r w:rsidRPr="00211D94">
        <w:rPr>
          <w:rFonts w:cs="Arial"/>
          <w:szCs w:val="24"/>
        </w:rPr>
        <w:t>,</w:t>
      </w:r>
    </w:p>
    <w:p w14:paraId="44386E53" w14:textId="77777777" w:rsidR="007172E8" w:rsidRPr="00211D94" w:rsidRDefault="007172E8" w:rsidP="007172E8">
      <w:pPr>
        <w:numPr>
          <w:ilvl w:val="0"/>
          <w:numId w:val="76"/>
        </w:numPr>
        <w:tabs>
          <w:tab w:val="left" w:pos="432"/>
        </w:tabs>
        <w:spacing w:before="120" w:after="120"/>
        <w:rPr>
          <w:rFonts w:cs="Arial"/>
          <w:szCs w:val="24"/>
        </w:rPr>
      </w:pPr>
      <w:r>
        <w:rPr>
          <w:rFonts w:cs="Arial"/>
          <w:szCs w:val="24"/>
        </w:rPr>
        <w:t xml:space="preserve">6 946 </w:t>
      </w:r>
      <w:r w:rsidRPr="00211D94">
        <w:rPr>
          <w:rFonts w:cs="Arial"/>
          <w:szCs w:val="24"/>
        </w:rPr>
        <w:t>os</w:t>
      </w:r>
      <w:r>
        <w:rPr>
          <w:rFonts w:cs="Arial"/>
          <w:szCs w:val="24"/>
        </w:rPr>
        <w:t>ób</w:t>
      </w:r>
      <w:r w:rsidRPr="00211D94">
        <w:rPr>
          <w:rFonts w:cs="Arial"/>
          <w:szCs w:val="24"/>
        </w:rPr>
        <w:t>, które otrzymały środki na rozpoczęcie działalności gospodarczej – 95,2%,</w:t>
      </w:r>
    </w:p>
    <w:p w14:paraId="43ED2CE2" w14:textId="77777777" w:rsidR="007172E8" w:rsidRPr="00211D94" w:rsidRDefault="007172E8" w:rsidP="007172E8">
      <w:pPr>
        <w:numPr>
          <w:ilvl w:val="0"/>
          <w:numId w:val="76"/>
        </w:numPr>
        <w:tabs>
          <w:tab w:val="left" w:pos="432"/>
        </w:tabs>
        <w:spacing w:before="120" w:after="120"/>
        <w:rPr>
          <w:rFonts w:cs="Arial"/>
          <w:szCs w:val="24"/>
        </w:rPr>
      </w:pPr>
      <w:r>
        <w:rPr>
          <w:rFonts w:cs="Arial"/>
          <w:szCs w:val="24"/>
        </w:rPr>
        <w:t xml:space="preserve">37 531 </w:t>
      </w:r>
      <w:r w:rsidRPr="00211D94">
        <w:rPr>
          <w:rFonts w:cs="Arial"/>
          <w:szCs w:val="24"/>
        </w:rPr>
        <w:t>os</w:t>
      </w:r>
      <w:r>
        <w:rPr>
          <w:rFonts w:cs="Arial"/>
          <w:szCs w:val="24"/>
        </w:rPr>
        <w:t>ób</w:t>
      </w:r>
      <w:r w:rsidRPr="00211D94">
        <w:rPr>
          <w:rFonts w:cs="Arial"/>
          <w:szCs w:val="24"/>
        </w:rPr>
        <w:t xml:space="preserve"> o niskich kwalifikacjach objęte wsparciem – 200,2%.</w:t>
      </w:r>
    </w:p>
    <w:p w14:paraId="7CDFC5EC"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8iii </w:t>
      </w:r>
      <w:r w:rsidRPr="00211D94">
        <w:rPr>
          <w:rFonts w:cs="Arial"/>
          <w:bCs/>
          <w:szCs w:val="24"/>
        </w:rPr>
        <w:t>– wsparcie dla osób bezrobotnych i pracujących przy podejmowaniu działalności gospodarczej</w:t>
      </w:r>
    </w:p>
    <w:p w14:paraId="2FB8D730" w14:textId="77777777" w:rsidR="007172E8" w:rsidRPr="00211D94" w:rsidRDefault="007172E8" w:rsidP="007172E8">
      <w:pPr>
        <w:numPr>
          <w:ilvl w:val="0"/>
          <w:numId w:val="77"/>
        </w:numPr>
        <w:tabs>
          <w:tab w:val="left" w:pos="432"/>
        </w:tabs>
        <w:spacing w:before="120" w:after="120"/>
        <w:rPr>
          <w:rFonts w:cs="Arial"/>
          <w:szCs w:val="24"/>
        </w:rPr>
      </w:pPr>
      <w:r>
        <w:rPr>
          <w:rFonts w:cs="Arial"/>
          <w:szCs w:val="24"/>
        </w:rPr>
        <w:t xml:space="preserve">1 699 </w:t>
      </w:r>
      <w:r w:rsidRPr="00211D94">
        <w:rPr>
          <w:rFonts w:cs="Arial"/>
          <w:szCs w:val="24"/>
        </w:rPr>
        <w:t>os</w:t>
      </w:r>
      <w:r>
        <w:rPr>
          <w:rFonts w:cs="Arial"/>
          <w:szCs w:val="24"/>
        </w:rPr>
        <w:t>ób</w:t>
      </w:r>
      <w:r w:rsidRPr="00211D94">
        <w:rPr>
          <w:rFonts w:cs="Arial"/>
          <w:szCs w:val="24"/>
        </w:rPr>
        <w:t xml:space="preserve"> bezrobotn</w:t>
      </w:r>
      <w:r>
        <w:rPr>
          <w:rFonts w:cs="Arial"/>
          <w:szCs w:val="24"/>
        </w:rPr>
        <w:t>ych</w:t>
      </w:r>
      <w:r w:rsidRPr="00211D94">
        <w:rPr>
          <w:rFonts w:cs="Arial"/>
          <w:szCs w:val="24"/>
        </w:rPr>
        <w:t xml:space="preserve"> otrzymując</w:t>
      </w:r>
      <w:r>
        <w:rPr>
          <w:rFonts w:cs="Arial"/>
          <w:szCs w:val="24"/>
        </w:rPr>
        <w:t>ych</w:t>
      </w:r>
      <w:r w:rsidRPr="00211D94">
        <w:rPr>
          <w:rFonts w:cs="Arial"/>
          <w:szCs w:val="24"/>
        </w:rPr>
        <w:t xml:space="preserve"> środki na działalność – 99,9%,</w:t>
      </w:r>
    </w:p>
    <w:p w14:paraId="61240801" w14:textId="77777777" w:rsidR="007172E8" w:rsidRPr="00211D94" w:rsidRDefault="007172E8" w:rsidP="007172E8">
      <w:pPr>
        <w:numPr>
          <w:ilvl w:val="0"/>
          <w:numId w:val="77"/>
        </w:numPr>
        <w:tabs>
          <w:tab w:val="left" w:pos="432"/>
        </w:tabs>
        <w:spacing w:before="120" w:after="120"/>
        <w:rPr>
          <w:rFonts w:cs="Arial"/>
          <w:szCs w:val="24"/>
        </w:rPr>
      </w:pPr>
      <w:r>
        <w:rPr>
          <w:rFonts w:cs="Arial"/>
          <w:szCs w:val="24"/>
        </w:rPr>
        <w:t xml:space="preserve">63 </w:t>
      </w:r>
      <w:r w:rsidRPr="00211D94">
        <w:rPr>
          <w:rFonts w:cs="Arial"/>
          <w:szCs w:val="24"/>
        </w:rPr>
        <w:t>osoby pracujące, które otrzymały wsparcie – 52,5%.</w:t>
      </w:r>
    </w:p>
    <w:p w14:paraId="3E53F7B6"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8iv </w:t>
      </w:r>
      <w:r w:rsidRPr="00211D94">
        <w:rPr>
          <w:rFonts w:cs="Arial"/>
          <w:bCs/>
          <w:szCs w:val="24"/>
        </w:rPr>
        <w:t>– opieka nad dziećmi do lat 3</w:t>
      </w:r>
    </w:p>
    <w:p w14:paraId="3652E9CB" w14:textId="77777777" w:rsidR="007172E8" w:rsidRPr="00211D94" w:rsidRDefault="007172E8" w:rsidP="007172E8">
      <w:pPr>
        <w:numPr>
          <w:ilvl w:val="0"/>
          <w:numId w:val="78"/>
        </w:numPr>
        <w:tabs>
          <w:tab w:val="left" w:pos="432"/>
        </w:tabs>
        <w:spacing w:before="120" w:after="120"/>
        <w:rPr>
          <w:rFonts w:cs="Arial"/>
          <w:szCs w:val="24"/>
        </w:rPr>
      </w:pPr>
      <w:r w:rsidRPr="00211D94">
        <w:rPr>
          <w:rFonts w:cs="Arial"/>
          <w:szCs w:val="24"/>
        </w:rPr>
        <w:t>osoby opiekujące się dziećmi do lat 3 objęte wsparciem – 4 550 (185,3%),</w:t>
      </w:r>
    </w:p>
    <w:p w14:paraId="25DFE112" w14:textId="77777777" w:rsidR="007172E8" w:rsidRPr="00211D94" w:rsidRDefault="007172E8" w:rsidP="007172E8">
      <w:pPr>
        <w:numPr>
          <w:ilvl w:val="0"/>
          <w:numId w:val="78"/>
        </w:numPr>
        <w:tabs>
          <w:tab w:val="left" w:pos="432"/>
        </w:tabs>
        <w:spacing w:before="120" w:after="120"/>
        <w:rPr>
          <w:rFonts w:cs="Arial"/>
          <w:szCs w:val="24"/>
        </w:rPr>
      </w:pPr>
      <w:r w:rsidRPr="00211D94">
        <w:rPr>
          <w:rFonts w:cs="Arial"/>
          <w:szCs w:val="24"/>
        </w:rPr>
        <w:t>utworzone miejsca opieki nad dziećmi do lat 3 – 3 340 (136%).</w:t>
      </w:r>
    </w:p>
    <w:p w14:paraId="18CA3E97"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8v </w:t>
      </w:r>
      <w:r w:rsidRPr="00211D94">
        <w:rPr>
          <w:rFonts w:cs="Arial"/>
          <w:bCs/>
          <w:szCs w:val="24"/>
        </w:rPr>
        <w:t>– pracownicy zagrożeni zwolnieniem i osoby zwolnione</w:t>
      </w:r>
      <w:r w:rsidRPr="00211D94">
        <w:rPr>
          <w:rFonts w:cs="Arial"/>
          <w:szCs w:val="24"/>
        </w:rPr>
        <w:t xml:space="preserve"> – 2 753 (133,3%).</w:t>
      </w:r>
    </w:p>
    <w:p w14:paraId="21CFF289"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8vi </w:t>
      </w:r>
      <w:r w:rsidRPr="00211D94">
        <w:rPr>
          <w:rFonts w:cs="Arial"/>
          <w:bCs/>
          <w:szCs w:val="24"/>
        </w:rPr>
        <w:t>– programy zdrowotne</w:t>
      </w:r>
      <w:r w:rsidRPr="00211D94">
        <w:rPr>
          <w:rFonts w:cs="Arial"/>
          <w:szCs w:val="24"/>
        </w:rPr>
        <w:t xml:space="preserve"> – 77 475 osób (159,7%).</w:t>
      </w:r>
    </w:p>
    <w:p w14:paraId="419836C7"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10iii </w:t>
      </w:r>
      <w:r w:rsidRPr="00211D94">
        <w:rPr>
          <w:rFonts w:cs="Arial"/>
          <w:bCs/>
          <w:szCs w:val="24"/>
        </w:rPr>
        <w:t>– osoby o niskich kwalifikacjach oraz osoby w wieku 25 lat i więcej</w:t>
      </w:r>
    </w:p>
    <w:p w14:paraId="077A554D" w14:textId="77777777" w:rsidR="007172E8" w:rsidRPr="00211D94" w:rsidRDefault="007172E8" w:rsidP="007172E8">
      <w:pPr>
        <w:numPr>
          <w:ilvl w:val="0"/>
          <w:numId w:val="79"/>
        </w:numPr>
        <w:tabs>
          <w:tab w:val="left" w:pos="432"/>
        </w:tabs>
        <w:spacing w:before="120" w:after="120"/>
        <w:rPr>
          <w:rFonts w:cs="Arial"/>
          <w:szCs w:val="24"/>
        </w:rPr>
      </w:pPr>
      <w:r w:rsidRPr="00211D94">
        <w:rPr>
          <w:rFonts w:cs="Arial"/>
          <w:szCs w:val="24"/>
        </w:rPr>
        <w:t>osoby o niskich kwalifikacjach – 52 809 (187%),</w:t>
      </w:r>
    </w:p>
    <w:p w14:paraId="7B2718C0" w14:textId="77777777" w:rsidR="007172E8" w:rsidRPr="00211D94" w:rsidRDefault="007172E8" w:rsidP="007172E8">
      <w:pPr>
        <w:numPr>
          <w:ilvl w:val="0"/>
          <w:numId w:val="79"/>
        </w:numPr>
        <w:tabs>
          <w:tab w:val="left" w:pos="432"/>
        </w:tabs>
        <w:spacing w:before="120" w:after="120"/>
        <w:rPr>
          <w:rFonts w:cs="Arial"/>
          <w:szCs w:val="24"/>
        </w:rPr>
      </w:pPr>
      <w:r w:rsidRPr="00211D94">
        <w:rPr>
          <w:rFonts w:cs="Arial"/>
          <w:szCs w:val="24"/>
        </w:rPr>
        <w:t>osoby w wieku 50+ – 28 963 (159,7%),</w:t>
      </w:r>
    </w:p>
    <w:p w14:paraId="25ED7D48" w14:textId="77777777" w:rsidR="007172E8" w:rsidRPr="00211D94" w:rsidRDefault="007172E8" w:rsidP="007172E8">
      <w:pPr>
        <w:numPr>
          <w:ilvl w:val="0"/>
          <w:numId w:val="79"/>
        </w:numPr>
        <w:tabs>
          <w:tab w:val="left" w:pos="432"/>
        </w:tabs>
        <w:spacing w:before="120" w:after="120"/>
        <w:rPr>
          <w:rFonts w:cs="Arial"/>
          <w:szCs w:val="24"/>
        </w:rPr>
      </w:pPr>
      <w:r w:rsidRPr="00211D94">
        <w:rPr>
          <w:rFonts w:cs="Arial"/>
          <w:szCs w:val="24"/>
        </w:rPr>
        <w:t>osoby w wieku 25+ – 74 489 (178,6%).</w:t>
      </w:r>
    </w:p>
    <w:p w14:paraId="22EBECA1" w14:textId="77777777" w:rsidR="007172E8" w:rsidRPr="00211D94" w:rsidRDefault="007172E8" w:rsidP="007172E8">
      <w:pPr>
        <w:tabs>
          <w:tab w:val="left" w:pos="432"/>
        </w:tabs>
        <w:spacing w:before="120" w:after="120"/>
        <w:rPr>
          <w:rFonts w:cs="Arial"/>
          <w:szCs w:val="24"/>
        </w:rPr>
      </w:pPr>
      <w:r w:rsidRPr="00211D94">
        <w:rPr>
          <w:rFonts w:cs="Arial"/>
          <w:szCs w:val="24"/>
        </w:rPr>
        <w:t>W ramach Działania 5.5 (PI 10iii) podpisano 159 umów, obejmując wsparciem ponad 78 tys. osób. Kryteria oceny wymagały, by co najmniej 80% uczestników stanowili dorośli (25+), z czego minimum 40% osoby o niskich kwalifikacjach. Projekty premiowano również za ukierunkowanie na osoby starsze i zatrudnione w sektorze mikro, małych i średnich przedsiębiorstw oraz podmiotach ekonomii społecznej.</w:t>
      </w:r>
    </w:p>
    <w:p w14:paraId="4FE19C2D" w14:textId="77777777" w:rsidR="007172E8" w:rsidRPr="00211D94" w:rsidRDefault="007172E8" w:rsidP="007172E8">
      <w:pPr>
        <w:tabs>
          <w:tab w:val="left" w:pos="432"/>
        </w:tabs>
        <w:spacing w:before="120" w:after="120"/>
        <w:rPr>
          <w:rFonts w:cs="Arial"/>
          <w:szCs w:val="24"/>
        </w:rPr>
      </w:pPr>
      <w:r w:rsidRPr="00211D94">
        <w:rPr>
          <w:rFonts w:cs="Arial"/>
          <w:szCs w:val="24"/>
        </w:rPr>
        <w:t xml:space="preserve">Dla 17 z 19 wskaźników produktu specyficznych dla EFS (zgodnie z Tabelą 4b) osiągnięto poziom realizacji przekraczający 100% zaplanowanej wartości docelowej. Na szczególną uwagę zasługuje wskaźnik „Liczba osób pracujących znajdujących się w niekorzystnej sytuacji na rynku pracy objętych wsparciem”, którego wartość wyniosła </w:t>
      </w:r>
      <w:r>
        <w:rPr>
          <w:rFonts w:cs="Arial"/>
          <w:szCs w:val="24"/>
        </w:rPr>
        <w:t>13 362 osoby, czyli aż</w:t>
      </w:r>
      <w:r w:rsidRPr="00211D94">
        <w:rPr>
          <w:rFonts w:cs="Arial"/>
          <w:szCs w:val="24"/>
        </w:rPr>
        <w:t xml:space="preserve"> 3 181,4%. Tak wysoki poziom realizacji wskazuje na skalę problemów związanych z niepełnym, niestabilnym lub niskopłatnym zatrudnieniem w województwie pomorskim. Do wzrostu wartości wskaźnika przyczyniły się m.in. konsekwencje agresji Rosji na Ukrainę, która spowodowała napływ imigrantów zmagających się z brakiem odpowiednich kwalifikacji i koniecznością podejmowania niskopłatnej pracy. Dodatkowo wpływ pandemii COVID-19 sprawił, że wskaźniki dotyczące działań ukierunkowanych na przeciwdziałanie jej skutkom osiągnęły bardzo wysokie poziomy realizacji, co widoczne jest również w ramach OP6. Przykładowo, wartość wskaźnika „Liczba osób objętych wsparciem w zakresie zwalczania lub przeciwdziałania skutkom pandemii COVID-19” wyniosła: dla PI 8i – </w:t>
      </w:r>
      <w:r>
        <w:rPr>
          <w:rFonts w:cs="Arial"/>
          <w:szCs w:val="24"/>
        </w:rPr>
        <w:t xml:space="preserve">12 955 osób, </w:t>
      </w:r>
      <w:r w:rsidRPr="00211D94">
        <w:rPr>
          <w:rFonts w:cs="Arial"/>
          <w:szCs w:val="24"/>
        </w:rPr>
        <w:t>236,2%</w:t>
      </w:r>
      <w:r>
        <w:rPr>
          <w:rFonts w:cs="Arial"/>
          <w:szCs w:val="24"/>
        </w:rPr>
        <w:t xml:space="preserve"> celu</w:t>
      </w:r>
      <w:r w:rsidRPr="00211D94">
        <w:rPr>
          <w:rFonts w:cs="Arial"/>
          <w:szCs w:val="24"/>
        </w:rPr>
        <w:t xml:space="preserve">, dla PI 8vi – </w:t>
      </w:r>
      <w:r>
        <w:rPr>
          <w:rFonts w:cs="Arial"/>
          <w:szCs w:val="24"/>
        </w:rPr>
        <w:t xml:space="preserve">15 134 osoby, </w:t>
      </w:r>
      <w:r w:rsidRPr="00211D94">
        <w:rPr>
          <w:rFonts w:cs="Arial"/>
          <w:szCs w:val="24"/>
        </w:rPr>
        <w:t>501,5%</w:t>
      </w:r>
      <w:r>
        <w:rPr>
          <w:rFonts w:cs="Arial"/>
          <w:szCs w:val="24"/>
        </w:rPr>
        <w:t xml:space="preserve"> celu</w:t>
      </w:r>
      <w:r w:rsidRPr="00211D94">
        <w:rPr>
          <w:rFonts w:cs="Arial"/>
          <w:szCs w:val="24"/>
        </w:rPr>
        <w:t xml:space="preserve">, a dla PI 9iv – </w:t>
      </w:r>
      <w:r>
        <w:rPr>
          <w:rFonts w:cs="Arial"/>
          <w:szCs w:val="24"/>
        </w:rPr>
        <w:t xml:space="preserve">12 398 osób, </w:t>
      </w:r>
      <w:r w:rsidRPr="00211D94">
        <w:rPr>
          <w:rFonts w:cs="Arial"/>
          <w:szCs w:val="24"/>
        </w:rPr>
        <w:t>1 054,3%</w:t>
      </w:r>
      <w:r>
        <w:rPr>
          <w:rFonts w:cs="Arial"/>
          <w:szCs w:val="24"/>
        </w:rPr>
        <w:t xml:space="preserve"> celu</w:t>
      </w:r>
      <w:r w:rsidRPr="00211D94">
        <w:rPr>
          <w:rFonts w:cs="Arial"/>
          <w:szCs w:val="24"/>
        </w:rPr>
        <w:t>. Tak wysokie wartości odzwierciedlają fakt, że społeczeństwo wciąż odczuwa skutki pandemii, a działania realizowane w ramach programu pozostają adekwatną odpowiedzią na te wyzwania.</w:t>
      </w:r>
    </w:p>
    <w:p w14:paraId="1D315353" w14:textId="77777777" w:rsidR="007172E8" w:rsidRPr="00211D94" w:rsidRDefault="007172E8" w:rsidP="007172E8">
      <w:pPr>
        <w:tabs>
          <w:tab w:val="left" w:pos="432"/>
        </w:tabs>
        <w:spacing w:before="120" w:after="120"/>
        <w:rPr>
          <w:rFonts w:cs="Arial"/>
          <w:bCs/>
          <w:szCs w:val="24"/>
        </w:rPr>
      </w:pPr>
      <w:r w:rsidRPr="00211D94">
        <w:rPr>
          <w:rFonts w:cs="Arial"/>
          <w:bCs/>
          <w:szCs w:val="24"/>
        </w:rPr>
        <w:t>Wskaźniki rezultatu</w:t>
      </w:r>
    </w:p>
    <w:p w14:paraId="08565CFD"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8i </w:t>
      </w:r>
      <w:r w:rsidRPr="00211D94">
        <w:rPr>
          <w:rFonts w:cs="Arial"/>
          <w:bCs/>
          <w:szCs w:val="24"/>
        </w:rPr>
        <w:t>– uzyskiwanie kwalifikacji i zatrudnienie po opuszczeniu Programu</w:t>
      </w:r>
    </w:p>
    <w:p w14:paraId="743A1479" w14:textId="77777777" w:rsidR="007172E8" w:rsidRPr="00211D94" w:rsidRDefault="007172E8" w:rsidP="007172E8">
      <w:pPr>
        <w:numPr>
          <w:ilvl w:val="0"/>
          <w:numId w:val="80"/>
        </w:numPr>
        <w:tabs>
          <w:tab w:val="left" w:pos="432"/>
        </w:tabs>
        <w:spacing w:before="120" w:after="120"/>
        <w:rPr>
          <w:rFonts w:cs="Arial"/>
          <w:szCs w:val="24"/>
        </w:rPr>
      </w:pPr>
      <w:r w:rsidRPr="00211D94">
        <w:rPr>
          <w:rFonts w:cs="Arial"/>
          <w:szCs w:val="24"/>
        </w:rPr>
        <w:t>uzyskanie kwalifikacji: osoby bezrobotne – 20,81%, długotrwale bezrobotne – 19,55%, osoby z niepełnosprawnościami – 29,41%, bierni zawodowo – 61,1%;</w:t>
      </w:r>
    </w:p>
    <w:p w14:paraId="7330597E" w14:textId="77777777" w:rsidR="007172E8" w:rsidRPr="00211D94" w:rsidRDefault="007172E8" w:rsidP="007172E8">
      <w:pPr>
        <w:numPr>
          <w:ilvl w:val="0"/>
          <w:numId w:val="80"/>
        </w:numPr>
        <w:tabs>
          <w:tab w:val="left" w:pos="432"/>
        </w:tabs>
        <w:spacing w:before="120" w:after="120"/>
        <w:rPr>
          <w:rFonts w:cs="Arial"/>
          <w:szCs w:val="24"/>
        </w:rPr>
      </w:pPr>
      <w:r w:rsidRPr="00211D94">
        <w:rPr>
          <w:rFonts w:cs="Arial"/>
          <w:szCs w:val="24"/>
        </w:rPr>
        <w:t>zatrudnienie po opuszczeniu Programu: osoby bezrobotne – 74,51%, długotrwale bezrobotne – 72,13%, osoby z niepełnosprawnościami – 62,07%, bierni zawodowo – 48,22%.</w:t>
      </w:r>
    </w:p>
    <w:p w14:paraId="20E63A93" w14:textId="77777777" w:rsidR="007172E8" w:rsidRPr="00211D94" w:rsidRDefault="007172E8" w:rsidP="007172E8">
      <w:pPr>
        <w:tabs>
          <w:tab w:val="left" w:pos="432"/>
        </w:tabs>
        <w:spacing w:before="120" w:after="120"/>
        <w:rPr>
          <w:rFonts w:cs="Arial"/>
          <w:szCs w:val="24"/>
        </w:rPr>
      </w:pPr>
      <w:r w:rsidRPr="00211D94">
        <w:rPr>
          <w:rFonts w:cs="Arial"/>
          <w:szCs w:val="24"/>
        </w:rPr>
        <w:t>Wskaźniki długoterminowe (6 miesięcy po zakończeniu udziału):</w:t>
      </w:r>
    </w:p>
    <w:p w14:paraId="3B61E05C" w14:textId="77777777" w:rsidR="007172E8" w:rsidRPr="00211D94" w:rsidRDefault="007172E8" w:rsidP="007172E8">
      <w:pPr>
        <w:numPr>
          <w:ilvl w:val="0"/>
          <w:numId w:val="81"/>
        </w:numPr>
        <w:tabs>
          <w:tab w:val="left" w:pos="432"/>
        </w:tabs>
        <w:spacing w:before="120" w:after="120"/>
        <w:rPr>
          <w:rFonts w:cs="Arial"/>
          <w:szCs w:val="24"/>
        </w:rPr>
      </w:pPr>
      <w:r w:rsidRPr="00211D94">
        <w:rPr>
          <w:rFonts w:cs="Arial"/>
          <w:szCs w:val="24"/>
        </w:rPr>
        <w:t>uczestnicy pracujący lub samozatrudnieni: PI 8i – 68%, PI 8iii – 70%, PI 8iv – 12%, PI 8v – 49%;</w:t>
      </w:r>
    </w:p>
    <w:p w14:paraId="34E903C9" w14:textId="77777777" w:rsidR="007172E8" w:rsidRPr="00211D94" w:rsidRDefault="007172E8" w:rsidP="007172E8">
      <w:pPr>
        <w:numPr>
          <w:ilvl w:val="0"/>
          <w:numId w:val="81"/>
        </w:numPr>
        <w:tabs>
          <w:tab w:val="left" w:pos="432"/>
        </w:tabs>
        <w:spacing w:before="120" w:after="120"/>
        <w:rPr>
          <w:rFonts w:cs="Arial"/>
          <w:szCs w:val="24"/>
        </w:rPr>
      </w:pPr>
      <w:r w:rsidRPr="00211D94">
        <w:rPr>
          <w:rFonts w:cs="Arial"/>
          <w:szCs w:val="24"/>
        </w:rPr>
        <w:t>poprawa sytuacji na rynku pracy: PI 8i – 54,1%, PI 8iv – 33,6%;</w:t>
      </w:r>
    </w:p>
    <w:p w14:paraId="6A43121B" w14:textId="77777777" w:rsidR="007172E8" w:rsidRPr="00211D94" w:rsidRDefault="007172E8" w:rsidP="007172E8">
      <w:pPr>
        <w:numPr>
          <w:ilvl w:val="0"/>
          <w:numId w:val="81"/>
        </w:numPr>
        <w:tabs>
          <w:tab w:val="left" w:pos="432"/>
        </w:tabs>
        <w:spacing w:before="120" w:after="120"/>
        <w:rPr>
          <w:rFonts w:cs="Arial"/>
          <w:szCs w:val="24"/>
        </w:rPr>
      </w:pPr>
      <w:r w:rsidRPr="00211D94">
        <w:rPr>
          <w:rFonts w:cs="Arial"/>
          <w:szCs w:val="24"/>
        </w:rPr>
        <w:t>osoby powyżej 54 lat pracujące lub prowadzące działalność – 42%.</w:t>
      </w:r>
    </w:p>
    <w:p w14:paraId="2A1A78B7" w14:textId="77777777" w:rsidR="007172E8" w:rsidRPr="00211D94" w:rsidRDefault="007172E8" w:rsidP="007172E8">
      <w:pPr>
        <w:tabs>
          <w:tab w:val="left" w:pos="432"/>
        </w:tabs>
        <w:spacing w:before="120" w:after="120"/>
        <w:rPr>
          <w:rFonts w:cs="Arial"/>
          <w:szCs w:val="24"/>
        </w:rPr>
      </w:pPr>
      <w:r w:rsidRPr="00211D94">
        <w:rPr>
          <w:rFonts w:cs="Arial"/>
          <w:b/>
          <w:bCs/>
          <w:szCs w:val="24"/>
        </w:rPr>
        <w:t xml:space="preserve">PI 10iii </w:t>
      </w:r>
      <w:r w:rsidRPr="00211D94">
        <w:rPr>
          <w:rFonts w:cs="Arial"/>
          <w:bCs/>
          <w:szCs w:val="24"/>
        </w:rPr>
        <w:t>– kwalifikacje i sytuacja społeczno-zawodowa uczestników</w:t>
      </w:r>
    </w:p>
    <w:p w14:paraId="5495D554" w14:textId="77777777" w:rsidR="007172E8" w:rsidRPr="00211D94" w:rsidRDefault="007172E8" w:rsidP="007172E8">
      <w:pPr>
        <w:numPr>
          <w:ilvl w:val="0"/>
          <w:numId w:val="82"/>
        </w:numPr>
        <w:tabs>
          <w:tab w:val="left" w:pos="432"/>
        </w:tabs>
        <w:spacing w:before="120" w:after="120"/>
        <w:rPr>
          <w:rFonts w:cs="Arial"/>
          <w:szCs w:val="24"/>
        </w:rPr>
      </w:pPr>
      <w:r w:rsidRPr="00211D94">
        <w:rPr>
          <w:rFonts w:cs="Arial"/>
          <w:szCs w:val="24"/>
        </w:rPr>
        <w:t>liczba osób uzyskujących kwalifikacje – 62 322;</w:t>
      </w:r>
    </w:p>
    <w:p w14:paraId="1325D0FC" w14:textId="77777777" w:rsidR="007172E8" w:rsidRPr="00211D94" w:rsidRDefault="007172E8" w:rsidP="007172E8">
      <w:pPr>
        <w:numPr>
          <w:ilvl w:val="0"/>
          <w:numId w:val="82"/>
        </w:numPr>
        <w:tabs>
          <w:tab w:val="left" w:pos="432"/>
        </w:tabs>
        <w:spacing w:before="120" w:after="120"/>
        <w:rPr>
          <w:rFonts w:cs="Arial"/>
          <w:szCs w:val="24"/>
        </w:rPr>
      </w:pPr>
      <w:r w:rsidRPr="00211D94">
        <w:rPr>
          <w:rFonts w:cs="Arial"/>
          <w:szCs w:val="24"/>
        </w:rPr>
        <w:t>uczestnicy w niekorzystnej sytuacji społecznej – 25 773;</w:t>
      </w:r>
    </w:p>
    <w:p w14:paraId="2CCF0261" w14:textId="77777777" w:rsidR="007172E8" w:rsidRPr="00211D94" w:rsidRDefault="007172E8" w:rsidP="007172E8">
      <w:pPr>
        <w:numPr>
          <w:ilvl w:val="0"/>
          <w:numId w:val="82"/>
        </w:numPr>
        <w:tabs>
          <w:tab w:val="left" w:pos="432"/>
        </w:tabs>
        <w:spacing w:before="120" w:after="120"/>
        <w:rPr>
          <w:rFonts w:cs="Arial"/>
          <w:szCs w:val="24"/>
        </w:rPr>
      </w:pPr>
      <w:r w:rsidRPr="00211D94">
        <w:rPr>
          <w:rFonts w:cs="Arial"/>
          <w:szCs w:val="24"/>
        </w:rPr>
        <w:t>41,2% uczestników poprawiło sytuację zawodową w ciągu 6 miesięcy.</w:t>
      </w:r>
    </w:p>
    <w:p w14:paraId="1C9B0ADF" w14:textId="77777777" w:rsidR="007172E8" w:rsidRPr="00211D94" w:rsidRDefault="007172E8" w:rsidP="007172E8">
      <w:pPr>
        <w:tabs>
          <w:tab w:val="left" w:pos="432"/>
        </w:tabs>
        <w:spacing w:before="120" w:after="120"/>
        <w:rPr>
          <w:rFonts w:cs="Arial"/>
          <w:bCs/>
          <w:szCs w:val="24"/>
        </w:rPr>
      </w:pPr>
      <w:r w:rsidRPr="00211D94">
        <w:rPr>
          <w:rFonts w:cs="Arial"/>
          <w:bCs/>
          <w:szCs w:val="24"/>
        </w:rPr>
        <w:t>Wskaźniki rezultatu specyficzne:</w:t>
      </w:r>
    </w:p>
    <w:p w14:paraId="02FCD95E" w14:textId="77777777" w:rsidR="007172E8" w:rsidRPr="00211D94" w:rsidRDefault="007172E8" w:rsidP="007172E8">
      <w:pPr>
        <w:numPr>
          <w:ilvl w:val="0"/>
          <w:numId w:val="83"/>
        </w:numPr>
        <w:tabs>
          <w:tab w:val="left" w:pos="432"/>
        </w:tabs>
        <w:spacing w:before="120" w:after="120"/>
        <w:rPr>
          <w:rFonts w:cs="Arial"/>
          <w:szCs w:val="24"/>
        </w:rPr>
      </w:pPr>
      <w:r w:rsidRPr="00211D94">
        <w:rPr>
          <w:rFonts w:cs="Arial"/>
          <w:b/>
          <w:bCs/>
          <w:szCs w:val="24"/>
        </w:rPr>
        <w:t>PI 8i:</w:t>
      </w:r>
      <w:r w:rsidRPr="00211D94">
        <w:rPr>
          <w:rFonts w:cs="Arial"/>
          <w:szCs w:val="24"/>
        </w:rPr>
        <w:t xml:space="preserve"> utworzone miejsca pracy – 6 793 (93,05% celu)</w:t>
      </w:r>
    </w:p>
    <w:p w14:paraId="392BA226" w14:textId="77777777" w:rsidR="007172E8" w:rsidRPr="00211D94" w:rsidRDefault="007172E8" w:rsidP="007172E8">
      <w:pPr>
        <w:numPr>
          <w:ilvl w:val="0"/>
          <w:numId w:val="83"/>
        </w:numPr>
        <w:tabs>
          <w:tab w:val="left" w:pos="432"/>
        </w:tabs>
        <w:spacing w:before="120" w:after="120"/>
        <w:rPr>
          <w:rFonts w:cs="Arial"/>
          <w:szCs w:val="24"/>
        </w:rPr>
      </w:pPr>
      <w:r w:rsidRPr="00211D94">
        <w:rPr>
          <w:rFonts w:cs="Arial"/>
          <w:b/>
          <w:bCs/>
          <w:szCs w:val="24"/>
        </w:rPr>
        <w:t>PI 8iii:</w:t>
      </w:r>
      <w:r w:rsidRPr="00211D94">
        <w:rPr>
          <w:rFonts w:cs="Arial"/>
          <w:szCs w:val="24"/>
        </w:rPr>
        <w:t xml:space="preserve"> utworzone miejsca pracy – 2 154 (118,35% celu)</w:t>
      </w:r>
    </w:p>
    <w:p w14:paraId="59F84BB8" w14:textId="77777777" w:rsidR="007172E8" w:rsidRPr="0051336E" w:rsidRDefault="007172E8" w:rsidP="007172E8">
      <w:pPr>
        <w:numPr>
          <w:ilvl w:val="0"/>
          <w:numId w:val="83"/>
        </w:numPr>
        <w:tabs>
          <w:tab w:val="left" w:pos="432"/>
        </w:tabs>
        <w:spacing w:before="120" w:after="120"/>
        <w:rPr>
          <w:rFonts w:cs="Arial"/>
          <w:szCs w:val="24"/>
        </w:rPr>
      </w:pPr>
      <w:r w:rsidRPr="0051336E">
        <w:rPr>
          <w:rFonts w:cs="Arial"/>
          <w:b/>
          <w:bCs/>
          <w:szCs w:val="24"/>
        </w:rPr>
        <w:t>PI 8iv:</w:t>
      </w:r>
      <w:r w:rsidRPr="0051336E">
        <w:rPr>
          <w:rFonts w:cs="Arial"/>
          <w:szCs w:val="24"/>
        </w:rPr>
        <w:t xml:space="preserve"> powrót na rynek pracy po przerwie związanej z wychowaniem dziecka – 3</w:t>
      </w:r>
      <w:r>
        <w:rPr>
          <w:rFonts w:cs="Arial"/>
          <w:szCs w:val="24"/>
        </w:rPr>
        <w:t> </w:t>
      </w:r>
      <w:r w:rsidRPr="0051336E">
        <w:rPr>
          <w:rFonts w:cs="Arial"/>
          <w:szCs w:val="24"/>
        </w:rPr>
        <w:t>016</w:t>
      </w:r>
      <w:r>
        <w:rPr>
          <w:rFonts w:cs="Arial"/>
          <w:szCs w:val="24"/>
        </w:rPr>
        <w:t xml:space="preserve"> </w:t>
      </w:r>
      <w:r w:rsidRPr="0051336E">
        <w:rPr>
          <w:rFonts w:cs="Arial"/>
          <w:szCs w:val="24"/>
        </w:rPr>
        <w:t>osób,</w:t>
      </w:r>
      <w:r>
        <w:rPr>
          <w:rFonts w:cs="Arial"/>
          <w:szCs w:val="24"/>
        </w:rPr>
        <w:t xml:space="preserve"> tj.</w:t>
      </w:r>
      <w:r w:rsidRPr="0051336E">
        <w:rPr>
          <w:rFonts w:cs="Arial"/>
          <w:szCs w:val="24"/>
        </w:rPr>
        <w:t xml:space="preserve"> 66,29% uczestników projektów przy zakładanych 48%; 1 213 osób pozostających bez pracy znalazły pracę lub jej poszukuje po zakończeniu udziału w projektach</w:t>
      </w:r>
      <w:r w:rsidRPr="001528FE">
        <w:rPr>
          <w:rFonts w:cs="Arial"/>
          <w:szCs w:val="24"/>
        </w:rPr>
        <w:t xml:space="preserve">, co stanowi 88,35% grupy wszystkich osób </w:t>
      </w:r>
      <w:r w:rsidRPr="0051336E">
        <w:rPr>
          <w:rFonts w:cs="Arial"/>
          <w:szCs w:val="24"/>
        </w:rPr>
        <w:t>pozostających bez pracy przy zakładanych w Programie 48%</w:t>
      </w:r>
    </w:p>
    <w:p w14:paraId="257DC05D" w14:textId="77777777" w:rsidR="007172E8" w:rsidRPr="0051336E" w:rsidRDefault="007172E8" w:rsidP="007172E8">
      <w:pPr>
        <w:numPr>
          <w:ilvl w:val="0"/>
          <w:numId w:val="83"/>
        </w:numPr>
        <w:tabs>
          <w:tab w:val="left" w:pos="432"/>
        </w:tabs>
        <w:spacing w:before="120" w:after="120"/>
        <w:rPr>
          <w:rFonts w:cs="Arial"/>
          <w:szCs w:val="24"/>
        </w:rPr>
      </w:pPr>
      <w:r w:rsidRPr="0051336E">
        <w:rPr>
          <w:rFonts w:cs="Arial"/>
          <w:b/>
          <w:bCs/>
          <w:szCs w:val="24"/>
        </w:rPr>
        <w:t>PI 8v:</w:t>
      </w:r>
      <w:r w:rsidRPr="0051336E">
        <w:rPr>
          <w:rFonts w:cs="Arial"/>
          <w:szCs w:val="24"/>
        </w:rPr>
        <w:t xml:space="preserve"> osoby, które uzyskały kwalifikacje – 2 470 </w:t>
      </w:r>
      <w:r w:rsidRPr="008A1B39">
        <w:rPr>
          <w:rFonts w:cs="Arial"/>
          <w:szCs w:val="24"/>
        </w:rPr>
        <w:t>os</w:t>
      </w:r>
      <w:r>
        <w:rPr>
          <w:rFonts w:cs="Arial"/>
          <w:szCs w:val="24"/>
        </w:rPr>
        <w:t>ób, tj. 94,10% (założono wartość docelową w Programie na poziomie 90%);</w:t>
      </w:r>
      <w:r w:rsidRPr="0051336E">
        <w:rPr>
          <w:rFonts w:cs="Arial"/>
          <w:szCs w:val="24"/>
        </w:rPr>
        <w:t xml:space="preserve"> które podjęły lub kontynuowały pracę – 1 559</w:t>
      </w:r>
      <w:r>
        <w:rPr>
          <w:rFonts w:cs="Arial"/>
          <w:szCs w:val="24"/>
        </w:rPr>
        <w:t>, tj. 59,39% (założono wartość docelową w Programie na poziomie 55%)</w:t>
      </w:r>
    </w:p>
    <w:p w14:paraId="6449868D" w14:textId="77777777" w:rsidR="007172E8" w:rsidRPr="00211D94" w:rsidRDefault="007172E8" w:rsidP="007172E8">
      <w:pPr>
        <w:numPr>
          <w:ilvl w:val="0"/>
          <w:numId w:val="83"/>
        </w:numPr>
        <w:tabs>
          <w:tab w:val="left" w:pos="432"/>
        </w:tabs>
        <w:spacing w:before="120" w:after="120"/>
        <w:rPr>
          <w:rFonts w:cs="Arial"/>
          <w:szCs w:val="24"/>
        </w:rPr>
      </w:pPr>
      <w:r w:rsidRPr="0051336E">
        <w:rPr>
          <w:rFonts w:cs="Arial"/>
          <w:b/>
          <w:bCs/>
          <w:szCs w:val="24"/>
        </w:rPr>
        <w:t>PI 8vi:</w:t>
      </w:r>
      <w:r w:rsidRPr="0051336E">
        <w:rPr>
          <w:rFonts w:cs="Arial"/>
          <w:szCs w:val="24"/>
        </w:rPr>
        <w:t xml:space="preserve"> osoby zgłaszające się na badania profilaktyczne – 77 227</w:t>
      </w:r>
      <w:r>
        <w:rPr>
          <w:rFonts w:cs="Arial"/>
          <w:szCs w:val="24"/>
        </w:rPr>
        <w:t>, tj. 99,68% (założono wartość docelową w Programie na poziomie 40%)</w:t>
      </w:r>
      <w:r w:rsidRPr="008A1B39">
        <w:rPr>
          <w:rFonts w:cs="Arial"/>
          <w:szCs w:val="24"/>
        </w:rPr>
        <w:t>; zatrudnione po zakończeniu Programu – 15</w:t>
      </w:r>
      <w:r>
        <w:rPr>
          <w:rFonts w:cs="Arial"/>
          <w:szCs w:val="24"/>
        </w:rPr>
        <w:t> </w:t>
      </w:r>
      <w:r w:rsidRPr="008A1B39">
        <w:rPr>
          <w:rFonts w:cs="Arial"/>
          <w:szCs w:val="24"/>
        </w:rPr>
        <w:t>678</w:t>
      </w:r>
      <w:r>
        <w:rPr>
          <w:rFonts w:cs="Arial"/>
          <w:szCs w:val="24"/>
        </w:rPr>
        <w:t>, tj. 18,40% (założono wartość docelową na poziomie 45%)</w:t>
      </w:r>
    </w:p>
    <w:p w14:paraId="73BBB619" w14:textId="77777777" w:rsidR="007172E8" w:rsidRPr="0051336E" w:rsidRDefault="007172E8" w:rsidP="007172E8">
      <w:pPr>
        <w:numPr>
          <w:ilvl w:val="0"/>
          <w:numId w:val="83"/>
        </w:numPr>
        <w:tabs>
          <w:tab w:val="left" w:pos="432"/>
        </w:tabs>
        <w:spacing w:before="120" w:after="120"/>
        <w:rPr>
          <w:rFonts w:cs="Arial"/>
          <w:szCs w:val="24"/>
        </w:rPr>
      </w:pPr>
      <w:r w:rsidRPr="0051336E">
        <w:rPr>
          <w:rFonts w:cs="Arial"/>
          <w:b/>
          <w:bCs/>
          <w:szCs w:val="24"/>
        </w:rPr>
        <w:t>PI 10iii:</w:t>
      </w:r>
      <w:r w:rsidRPr="0051336E">
        <w:rPr>
          <w:rFonts w:cs="Arial"/>
          <w:szCs w:val="24"/>
        </w:rPr>
        <w:t xml:space="preserve"> osoby o niskich kwalifikacjach – 50 299, tj. 95,25% (założono wartość docelową </w:t>
      </w:r>
      <w:r>
        <w:rPr>
          <w:rFonts w:cs="Arial"/>
          <w:szCs w:val="24"/>
        </w:rPr>
        <w:t xml:space="preserve">w Programie </w:t>
      </w:r>
      <w:r w:rsidRPr="0051336E">
        <w:rPr>
          <w:rFonts w:cs="Arial"/>
          <w:szCs w:val="24"/>
        </w:rPr>
        <w:t>na poziomie 87%</w:t>
      </w:r>
      <w:r>
        <w:rPr>
          <w:rFonts w:cs="Arial"/>
          <w:szCs w:val="24"/>
        </w:rPr>
        <w:t>)</w:t>
      </w:r>
      <w:r w:rsidRPr="0051336E">
        <w:rPr>
          <w:rFonts w:cs="Arial"/>
          <w:szCs w:val="24"/>
        </w:rPr>
        <w:t>; osoby w wieku 50+ – 27 949, tj. 96,50% (założono wartość docelową na poziomie 87%</w:t>
      </w:r>
      <w:r>
        <w:rPr>
          <w:rFonts w:cs="Arial"/>
          <w:szCs w:val="24"/>
        </w:rPr>
        <w:t>)</w:t>
      </w:r>
      <w:r w:rsidRPr="0051336E">
        <w:rPr>
          <w:rFonts w:cs="Arial"/>
          <w:szCs w:val="24"/>
        </w:rPr>
        <w:t>; osoby w wieku 25+ – 70 654, tj. 94,85% (założono wartość docelową na poziomie 87%</w:t>
      </w:r>
      <w:r>
        <w:rPr>
          <w:rFonts w:cs="Arial"/>
          <w:szCs w:val="24"/>
        </w:rPr>
        <w:t>)</w:t>
      </w:r>
    </w:p>
    <w:p w14:paraId="0345C5FC" w14:textId="77777777" w:rsidR="007172E8" w:rsidRPr="0051336E" w:rsidRDefault="007172E8" w:rsidP="007172E8">
      <w:pPr>
        <w:numPr>
          <w:ilvl w:val="0"/>
          <w:numId w:val="83"/>
        </w:numPr>
        <w:tabs>
          <w:tab w:val="left" w:pos="432"/>
        </w:tabs>
        <w:spacing w:before="120" w:after="120"/>
        <w:rPr>
          <w:rFonts w:cs="Arial"/>
          <w:szCs w:val="24"/>
        </w:rPr>
      </w:pPr>
      <w:r w:rsidRPr="0051336E">
        <w:rPr>
          <w:rFonts w:cs="Arial"/>
          <w:szCs w:val="24"/>
        </w:rPr>
        <w:t xml:space="preserve">Dla OP5 określono w odniesieniu do </w:t>
      </w:r>
      <w:r w:rsidRPr="0051336E">
        <w:rPr>
          <w:rFonts w:cs="Arial"/>
          <w:b/>
          <w:szCs w:val="24"/>
        </w:rPr>
        <w:t>ram wykonania</w:t>
      </w:r>
      <w:r w:rsidRPr="0051336E">
        <w:rPr>
          <w:rFonts w:cs="Arial"/>
          <w:szCs w:val="24"/>
        </w:rPr>
        <w:t xml:space="preserve"> trzy wskaźniki – dwa wskaźniki produktu i wskaźnik finansowy tj.:</w:t>
      </w:r>
    </w:p>
    <w:p w14:paraId="26C9136A" w14:textId="77777777" w:rsidR="007172E8" w:rsidRPr="00211D94" w:rsidRDefault="007172E8" w:rsidP="007172E8">
      <w:pPr>
        <w:numPr>
          <w:ilvl w:val="0"/>
          <w:numId w:val="84"/>
        </w:numPr>
        <w:tabs>
          <w:tab w:val="left" w:pos="432"/>
        </w:tabs>
        <w:spacing w:before="120" w:after="120"/>
        <w:rPr>
          <w:rFonts w:cs="Arial"/>
          <w:szCs w:val="24"/>
        </w:rPr>
      </w:pPr>
      <w:r w:rsidRPr="00211D94">
        <w:rPr>
          <w:rFonts w:cs="Arial"/>
          <w:szCs w:val="24"/>
        </w:rPr>
        <w:t>liczba osób bezrobotnych objętych wsparciem – 36 982 (112,82% celu),</w:t>
      </w:r>
    </w:p>
    <w:p w14:paraId="0AFA8C33" w14:textId="77777777" w:rsidR="007172E8" w:rsidRPr="00211D94" w:rsidRDefault="007172E8" w:rsidP="007172E8">
      <w:pPr>
        <w:numPr>
          <w:ilvl w:val="0"/>
          <w:numId w:val="84"/>
        </w:numPr>
        <w:tabs>
          <w:tab w:val="left" w:pos="432"/>
        </w:tabs>
        <w:spacing w:before="120" w:after="120"/>
        <w:rPr>
          <w:rFonts w:cs="Arial"/>
          <w:szCs w:val="24"/>
        </w:rPr>
      </w:pPr>
      <w:r w:rsidRPr="00211D94">
        <w:rPr>
          <w:rFonts w:cs="Arial"/>
          <w:szCs w:val="24"/>
        </w:rPr>
        <w:t>liczba osób, które otrzymały środki na działalność – 1 699 (99,94%</w:t>
      </w:r>
      <w:r>
        <w:rPr>
          <w:rFonts w:cs="Arial"/>
          <w:szCs w:val="24"/>
        </w:rPr>
        <w:t xml:space="preserve"> celu</w:t>
      </w:r>
      <w:r w:rsidRPr="00211D94">
        <w:rPr>
          <w:rFonts w:cs="Arial"/>
          <w:szCs w:val="24"/>
        </w:rPr>
        <w:t>),</w:t>
      </w:r>
    </w:p>
    <w:p w14:paraId="48E13DF8" w14:textId="77777777" w:rsidR="007172E8" w:rsidRPr="00211D94" w:rsidRDefault="007172E8" w:rsidP="007172E8">
      <w:pPr>
        <w:numPr>
          <w:ilvl w:val="0"/>
          <w:numId w:val="84"/>
        </w:numPr>
        <w:tabs>
          <w:tab w:val="left" w:pos="432"/>
        </w:tabs>
        <w:spacing w:before="120" w:after="120"/>
        <w:rPr>
          <w:rFonts w:cs="Arial"/>
          <w:szCs w:val="24"/>
        </w:rPr>
      </w:pPr>
      <w:r w:rsidRPr="00211D94">
        <w:rPr>
          <w:rFonts w:cs="Arial"/>
          <w:szCs w:val="24"/>
        </w:rPr>
        <w:t>certyfikowane wydatki kwalifikowalne – 237 393 707,21 EUR (102,68% celu). Wskaźnik finansowy obejmuje wydatki kwalifikowalne przekazane do KE.</w:t>
      </w:r>
    </w:p>
    <w:p w14:paraId="30F3364D" w14:textId="5A723F0D" w:rsidR="008A1B39" w:rsidRPr="00211D94" w:rsidRDefault="008A1B39" w:rsidP="008A1B39">
      <w:pPr>
        <w:tabs>
          <w:tab w:val="left" w:pos="432"/>
        </w:tabs>
        <w:spacing w:before="120" w:after="120"/>
        <w:rPr>
          <w:rFonts w:cs="Arial"/>
          <w:szCs w:val="24"/>
        </w:rPr>
      </w:pPr>
      <w:r w:rsidRPr="00211D94">
        <w:rPr>
          <w:rFonts w:cs="Arial"/>
          <w:szCs w:val="24"/>
        </w:rPr>
        <w:t xml:space="preserve">Największy wpływ na wysoki poziom realizacji miała realizacja projektów pozakonkursowych przez </w:t>
      </w:r>
      <w:r w:rsidR="00741D2E" w:rsidRPr="00211D94">
        <w:rPr>
          <w:rFonts w:cs="Arial"/>
          <w:szCs w:val="24"/>
        </w:rPr>
        <w:t>WUP</w:t>
      </w:r>
      <w:r w:rsidRPr="00211D94">
        <w:rPr>
          <w:rFonts w:cs="Arial"/>
          <w:szCs w:val="24"/>
        </w:rPr>
        <w:t xml:space="preserve"> oraz </w:t>
      </w:r>
      <w:r w:rsidR="00741D2E" w:rsidRPr="00211D94">
        <w:rPr>
          <w:rFonts w:cs="Arial"/>
          <w:szCs w:val="24"/>
        </w:rPr>
        <w:t>ZIT</w:t>
      </w:r>
      <w:r w:rsidRPr="00211D94">
        <w:rPr>
          <w:rFonts w:cs="Arial"/>
          <w:szCs w:val="24"/>
        </w:rPr>
        <w:t xml:space="preserve"> – 100 z 167 projektów.</w:t>
      </w:r>
    </w:p>
    <w:p w14:paraId="3088B2CD" w14:textId="77777777" w:rsidR="008A1B39" w:rsidRPr="00211D94" w:rsidRDefault="008A1B39" w:rsidP="008A1B39">
      <w:pPr>
        <w:tabs>
          <w:tab w:val="left" w:pos="432"/>
        </w:tabs>
        <w:spacing w:before="120" w:after="120"/>
        <w:rPr>
          <w:rFonts w:cs="Arial"/>
          <w:bCs/>
          <w:szCs w:val="24"/>
        </w:rPr>
      </w:pPr>
      <w:r w:rsidRPr="00211D94">
        <w:rPr>
          <w:rFonts w:cs="Arial"/>
          <w:bCs/>
          <w:szCs w:val="24"/>
        </w:rPr>
        <w:t>Skuteczność</w:t>
      </w:r>
    </w:p>
    <w:p w14:paraId="584B68B8" w14:textId="3A38BC69" w:rsidR="008A1B39" w:rsidRPr="00211D94" w:rsidRDefault="008A1B39" w:rsidP="008A1B39">
      <w:pPr>
        <w:tabs>
          <w:tab w:val="left" w:pos="432"/>
        </w:tabs>
        <w:spacing w:before="120" w:after="120"/>
        <w:rPr>
          <w:rFonts w:cs="Arial"/>
          <w:szCs w:val="24"/>
        </w:rPr>
      </w:pPr>
      <w:r w:rsidRPr="00211D94">
        <w:rPr>
          <w:rFonts w:cs="Arial"/>
          <w:bCs/>
          <w:szCs w:val="24"/>
        </w:rPr>
        <w:t>Działanie 5.7</w:t>
      </w:r>
      <w:r w:rsidR="002526A7" w:rsidRPr="00211D94">
        <w:rPr>
          <w:rFonts w:cs="Arial"/>
          <w:bCs/>
          <w:szCs w:val="24"/>
        </w:rPr>
        <w:t xml:space="preserve">. </w:t>
      </w:r>
      <w:r w:rsidR="002E5874" w:rsidRPr="00211D94">
        <w:rPr>
          <w:rFonts w:cs="Arial"/>
          <w:bCs/>
          <w:szCs w:val="24"/>
        </w:rPr>
        <w:t>„</w:t>
      </w:r>
      <w:r w:rsidRPr="00211D94">
        <w:rPr>
          <w:rFonts w:cs="Arial"/>
          <w:bCs/>
          <w:szCs w:val="24"/>
        </w:rPr>
        <w:t>Nowe mikroprzedsiębiorstwa</w:t>
      </w:r>
      <w:r w:rsidR="002E5874" w:rsidRPr="00211D94">
        <w:rPr>
          <w:rFonts w:cs="Arial"/>
          <w:bCs/>
          <w:szCs w:val="24"/>
        </w:rPr>
        <w:t>”</w:t>
      </w:r>
      <w:r w:rsidRPr="00211D94">
        <w:rPr>
          <w:rFonts w:cs="Arial"/>
          <w:bCs/>
          <w:szCs w:val="24"/>
        </w:rPr>
        <w:t xml:space="preserve"> (PI 8iii)</w:t>
      </w:r>
      <w:r w:rsidRPr="00211D94">
        <w:rPr>
          <w:rFonts w:cs="Arial"/>
          <w:szCs w:val="24"/>
        </w:rPr>
        <w:br/>
        <w:t>Utworzono 2 154 miejsca pracy w ramach 1 762 dotacji. Uczestnicy poprawili sytuację zawodową, podejmując samozatrudnienie i tworząc nowe miejsca pracy.</w:t>
      </w:r>
    </w:p>
    <w:p w14:paraId="5FFD3595" w14:textId="49A0E09E" w:rsidR="008A1B39" w:rsidRPr="00211D94" w:rsidRDefault="008A1B39" w:rsidP="008A1B39">
      <w:pPr>
        <w:tabs>
          <w:tab w:val="left" w:pos="432"/>
        </w:tabs>
        <w:spacing w:before="120" w:after="120"/>
        <w:rPr>
          <w:rFonts w:cs="Arial"/>
          <w:szCs w:val="24"/>
        </w:rPr>
      </w:pPr>
      <w:r w:rsidRPr="00211D94">
        <w:rPr>
          <w:rFonts w:cs="Arial"/>
          <w:bCs/>
          <w:szCs w:val="24"/>
        </w:rPr>
        <w:t>Działanie 5.3</w:t>
      </w:r>
      <w:r w:rsidR="002526A7" w:rsidRPr="00211D94">
        <w:rPr>
          <w:rFonts w:cs="Arial"/>
          <w:bCs/>
          <w:szCs w:val="24"/>
        </w:rPr>
        <w:t>.</w:t>
      </w:r>
      <w:r w:rsidRPr="00211D94">
        <w:rPr>
          <w:rFonts w:cs="Arial"/>
          <w:bCs/>
          <w:szCs w:val="24"/>
        </w:rPr>
        <w:t xml:space="preserve"> </w:t>
      </w:r>
      <w:r w:rsidR="002E5874" w:rsidRPr="00211D94">
        <w:rPr>
          <w:rFonts w:cs="Arial"/>
          <w:bCs/>
          <w:szCs w:val="24"/>
        </w:rPr>
        <w:t>„</w:t>
      </w:r>
      <w:r w:rsidRPr="00211D94">
        <w:rPr>
          <w:rFonts w:cs="Arial"/>
          <w:bCs/>
          <w:szCs w:val="24"/>
        </w:rPr>
        <w:t>Opieka nad dziećmi do lat 3</w:t>
      </w:r>
      <w:r w:rsidR="002E5874" w:rsidRPr="00211D94">
        <w:rPr>
          <w:rFonts w:cs="Arial"/>
          <w:bCs/>
          <w:szCs w:val="24"/>
        </w:rPr>
        <w:t>”</w:t>
      </w:r>
      <w:r w:rsidRPr="00211D94">
        <w:rPr>
          <w:rFonts w:cs="Arial"/>
          <w:szCs w:val="24"/>
        </w:rPr>
        <w:br/>
        <w:t>66,29% uczestników powróciło na rynek pracy po przerwie związanej z wychowaniem dziecka (plan 48%), a 88,35% podjęło pracę lub jej szukało (plan 48%).</w:t>
      </w:r>
    </w:p>
    <w:p w14:paraId="0FFD6DB3" w14:textId="71103161" w:rsidR="008A1B39" w:rsidRPr="00211D94" w:rsidRDefault="008A1B39" w:rsidP="008A1B39">
      <w:pPr>
        <w:tabs>
          <w:tab w:val="left" w:pos="432"/>
        </w:tabs>
        <w:spacing w:before="120" w:after="120"/>
        <w:rPr>
          <w:rFonts w:cs="Arial"/>
          <w:szCs w:val="24"/>
        </w:rPr>
      </w:pPr>
      <w:r w:rsidRPr="00211D94">
        <w:rPr>
          <w:rFonts w:cs="Arial"/>
          <w:bCs/>
          <w:szCs w:val="24"/>
        </w:rPr>
        <w:t>Działanie 5.4</w:t>
      </w:r>
      <w:r w:rsidR="002526A7" w:rsidRPr="00211D94">
        <w:rPr>
          <w:rFonts w:cs="Arial"/>
          <w:bCs/>
          <w:szCs w:val="24"/>
        </w:rPr>
        <w:t xml:space="preserve">. </w:t>
      </w:r>
      <w:r w:rsidR="002E5874" w:rsidRPr="00211D94">
        <w:rPr>
          <w:rFonts w:cs="Arial"/>
          <w:bCs/>
          <w:szCs w:val="24"/>
        </w:rPr>
        <w:t>„</w:t>
      </w:r>
      <w:r w:rsidRPr="00211D94">
        <w:rPr>
          <w:rFonts w:cs="Arial"/>
          <w:bCs/>
          <w:szCs w:val="24"/>
        </w:rPr>
        <w:t>Zdrowie na rynku pracy</w:t>
      </w:r>
      <w:r w:rsidR="002E5874" w:rsidRPr="00211D94">
        <w:rPr>
          <w:rFonts w:cs="Arial"/>
          <w:bCs/>
          <w:szCs w:val="24"/>
        </w:rPr>
        <w:t>”</w:t>
      </w:r>
      <w:r w:rsidRPr="00211D94">
        <w:rPr>
          <w:rFonts w:cs="Arial"/>
          <w:szCs w:val="24"/>
        </w:rPr>
        <w:br/>
        <w:t>Wskaźnik podjęcia pracy wyniósł 18,4% (plan 45%), natomiast 99,68% uczestników zgłosiło się na badania profilaktyczne (plan 40%). Cel zdrowotny został osiągnięty w pełni.</w:t>
      </w:r>
    </w:p>
    <w:p w14:paraId="086613F8" w14:textId="2D626620" w:rsidR="008A1B39" w:rsidRPr="00211D94" w:rsidRDefault="008A1B39" w:rsidP="008A1B39">
      <w:pPr>
        <w:tabs>
          <w:tab w:val="left" w:pos="432"/>
        </w:tabs>
        <w:spacing w:before="120" w:after="120"/>
        <w:rPr>
          <w:rFonts w:cs="Arial"/>
          <w:szCs w:val="24"/>
        </w:rPr>
      </w:pPr>
      <w:r w:rsidRPr="00211D94">
        <w:rPr>
          <w:rFonts w:cs="Arial"/>
          <w:bCs/>
          <w:szCs w:val="24"/>
        </w:rPr>
        <w:t>Działanie 5.5</w:t>
      </w:r>
      <w:r w:rsidR="002526A7" w:rsidRPr="00211D94">
        <w:rPr>
          <w:rFonts w:cs="Arial"/>
          <w:bCs/>
          <w:szCs w:val="24"/>
        </w:rPr>
        <w:t xml:space="preserve">. </w:t>
      </w:r>
      <w:r w:rsidR="002E5874" w:rsidRPr="00211D94">
        <w:rPr>
          <w:rFonts w:cs="Arial"/>
          <w:bCs/>
          <w:szCs w:val="24"/>
        </w:rPr>
        <w:t>„</w:t>
      </w:r>
      <w:r w:rsidRPr="00211D94">
        <w:rPr>
          <w:rFonts w:cs="Arial"/>
          <w:bCs/>
          <w:szCs w:val="24"/>
        </w:rPr>
        <w:t>Kształcenie ustawiczne</w:t>
      </w:r>
      <w:r w:rsidR="002E5874" w:rsidRPr="00211D94">
        <w:rPr>
          <w:rFonts w:cs="Arial"/>
          <w:bCs/>
          <w:szCs w:val="24"/>
        </w:rPr>
        <w:t>”</w:t>
      </w:r>
      <w:r w:rsidRPr="00211D94">
        <w:rPr>
          <w:rFonts w:cs="Arial"/>
          <w:szCs w:val="24"/>
        </w:rPr>
        <w:br/>
        <w:t>95,25% uczestników uzyskało kwalifikacje lub kompetencje (plan 87%), w tym osoby w wieku 50+ – 96,5%, osoby w wieku 25+ – 94,85%.</w:t>
      </w:r>
    </w:p>
    <w:p w14:paraId="6170D1C1" w14:textId="428B9E1D" w:rsidR="009350B6" w:rsidRPr="00211D94" w:rsidRDefault="009350B6" w:rsidP="008A1B39">
      <w:pPr>
        <w:tabs>
          <w:tab w:val="left" w:pos="432"/>
        </w:tabs>
        <w:spacing w:before="120" w:after="120"/>
        <w:rPr>
          <w:rFonts w:cs="Arial"/>
          <w:szCs w:val="24"/>
        </w:rPr>
      </w:pPr>
      <w:r w:rsidRPr="00211D94">
        <w:rPr>
          <w:rFonts w:cs="Arial"/>
          <w:szCs w:val="24"/>
        </w:rPr>
        <w:t>W ramach OP5 (zgodnie z Tabelą 2C) przekroczono wartość docelową wskaźnika „Liczba utworzonych miejsc pracy w ramach udzielonych z EFS środków na podjęcie działalności gospodarczej (PI 8iii)”. Osiągnięto poziom realizacji wynoszący 118,35%, mimo że wskaźniki produktu – „Liczba osób pozostających bez pracy, które otrzymały bezzwrotne środki na podjęcie działalności gospodarczej” oraz „Liczba osób pracujących, które otrzymały bezzwrotne środki na podjęcie działalności gospodarczej” – nie przekroczyły 100%, a jeden z nich osiągnął wartość 52,5%. Na uzyskany rezultat wpływ miał fakt, że osoby zakładające działalność gospodarczą stworzyły miejsca pracy również dla osób bezrobotnych. Zjawisko to należy uznać za pozytywny efekt realizacji działań w ramach OP5, przyczyniający się do wzrostu zatrudnienia i rozwoju przedsiębiorczości.</w:t>
      </w:r>
    </w:p>
    <w:p w14:paraId="4F18BD73" w14:textId="32F49FB9" w:rsidR="008A1B39" w:rsidRPr="00211D94" w:rsidRDefault="008A1B39" w:rsidP="008A1B39">
      <w:pPr>
        <w:tabs>
          <w:tab w:val="left" w:pos="432"/>
        </w:tabs>
        <w:spacing w:before="120" w:after="120"/>
        <w:rPr>
          <w:rFonts w:cs="Arial"/>
          <w:bCs/>
          <w:szCs w:val="24"/>
        </w:rPr>
      </w:pPr>
      <w:r w:rsidRPr="00211D94">
        <w:rPr>
          <w:rFonts w:cs="Arial"/>
          <w:bCs/>
          <w:szCs w:val="24"/>
        </w:rPr>
        <w:t>Problemy i działania zaradcze</w:t>
      </w:r>
      <w:r w:rsidR="002E5874" w:rsidRPr="00211D94">
        <w:rPr>
          <w:rFonts w:cs="Arial"/>
          <w:bCs/>
          <w:szCs w:val="24"/>
        </w:rPr>
        <w:t>:</w:t>
      </w:r>
    </w:p>
    <w:p w14:paraId="0328D300" w14:textId="5753863F" w:rsidR="008A1B39" w:rsidRPr="00211D94" w:rsidRDefault="008A1B39" w:rsidP="008A1B39">
      <w:pPr>
        <w:tabs>
          <w:tab w:val="left" w:pos="432"/>
        </w:tabs>
        <w:spacing w:before="120" w:after="120"/>
        <w:rPr>
          <w:rFonts w:cs="Arial"/>
          <w:szCs w:val="24"/>
        </w:rPr>
      </w:pPr>
      <w:r w:rsidRPr="00211D94">
        <w:rPr>
          <w:rFonts w:cs="Arial"/>
          <w:szCs w:val="24"/>
        </w:rPr>
        <w:t>W wyniku ustaleń IA oraz stanowiska KE dotyczącego weryfikacji kwalifikowalności uczestników, IZ RPO wprowadziła obowiązek potwierdzania kwalifikowalności uczestników przy użyciu baz danych, wywiadów telefonicznych i ankiet oraz weryfikacji danych w systemie SL2014.</w:t>
      </w:r>
    </w:p>
    <w:p w14:paraId="503361E5" w14:textId="72264111" w:rsidR="008A1B39" w:rsidRPr="00211D94" w:rsidRDefault="008A1B39" w:rsidP="008A1B39">
      <w:pPr>
        <w:tabs>
          <w:tab w:val="left" w:pos="432"/>
        </w:tabs>
        <w:spacing w:before="120" w:after="120"/>
        <w:rPr>
          <w:rFonts w:cs="Arial"/>
          <w:szCs w:val="24"/>
        </w:rPr>
      </w:pPr>
      <w:r w:rsidRPr="00211D94">
        <w:rPr>
          <w:rFonts w:cs="Arial"/>
          <w:szCs w:val="24"/>
        </w:rPr>
        <w:t>Pandemia COVID-19 utrudniała rekrutację, zwłaszcza osób z niepełnosprawnościami i długotrwale bezrobotnych. IZ RPO i WUP wsparły beneficjentów poprzez kierowanie uczestników na staże, indywidualne doradztwo oraz wydłużanie okresów wsparcia.</w:t>
      </w:r>
    </w:p>
    <w:p w14:paraId="5E3F5F31" w14:textId="77777777" w:rsidR="008A1B39" w:rsidRPr="00211D94" w:rsidRDefault="008A1B39" w:rsidP="008A1B39">
      <w:pPr>
        <w:tabs>
          <w:tab w:val="left" w:pos="432"/>
        </w:tabs>
        <w:spacing w:before="120" w:after="120"/>
        <w:rPr>
          <w:rFonts w:cs="Arial"/>
          <w:bCs/>
          <w:szCs w:val="24"/>
        </w:rPr>
      </w:pPr>
      <w:r w:rsidRPr="00211D94">
        <w:rPr>
          <w:rFonts w:cs="Arial"/>
          <w:bCs/>
          <w:szCs w:val="24"/>
        </w:rPr>
        <w:t>Ewaluacja</w:t>
      </w:r>
    </w:p>
    <w:p w14:paraId="73E87B33" w14:textId="53FFB43E" w:rsidR="00214BA9" w:rsidRPr="00211D94" w:rsidRDefault="008A1B39" w:rsidP="00F55865">
      <w:pPr>
        <w:tabs>
          <w:tab w:val="left" w:pos="432"/>
        </w:tabs>
        <w:spacing w:before="120" w:after="120"/>
        <w:ind w:right="140"/>
        <w:rPr>
          <w:rFonts w:cs="Arial"/>
          <w:szCs w:val="24"/>
        </w:rPr>
      </w:pPr>
      <w:r w:rsidRPr="00211D94">
        <w:rPr>
          <w:rFonts w:cs="Arial"/>
          <w:szCs w:val="24"/>
        </w:rPr>
        <w:t xml:space="preserve">Badanie „Ocena skuteczności i efektywności wsparcia w ramach </w:t>
      </w:r>
      <w:r w:rsidR="002526A7" w:rsidRPr="00211D94">
        <w:rPr>
          <w:rFonts w:cs="Arial"/>
          <w:szCs w:val="24"/>
        </w:rPr>
        <w:t>OP</w:t>
      </w:r>
      <w:r w:rsidRPr="00211D94">
        <w:rPr>
          <w:rFonts w:cs="Arial"/>
          <w:szCs w:val="24"/>
        </w:rPr>
        <w:t>5</w:t>
      </w:r>
      <w:r w:rsidR="002526A7" w:rsidRPr="00211D94">
        <w:rPr>
          <w:rFonts w:cs="Arial"/>
          <w:szCs w:val="24"/>
        </w:rPr>
        <w:t>.</w:t>
      </w:r>
      <w:r w:rsidRPr="00211D94">
        <w:rPr>
          <w:rFonts w:cs="Arial"/>
          <w:szCs w:val="24"/>
        </w:rPr>
        <w:t xml:space="preserve"> Zatrudnienie</w:t>
      </w:r>
      <w:r w:rsidRPr="00211D94">
        <w:rPr>
          <w:rFonts w:cs="Arial"/>
          <w:i/>
          <w:szCs w:val="24"/>
        </w:rPr>
        <w:t xml:space="preserve"> </w:t>
      </w:r>
      <w:r w:rsidRPr="00211D94">
        <w:rPr>
          <w:rFonts w:cs="Arial"/>
          <w:szCs w:val="24"/>
        </w:rPr>
        <w:t>RPO WP 2014–2020” wykazało, że przyjęty zakres interwencji adekwatnie odpowiadał potrzebom regionalnego rynku pracy i doświadczeniom z wcześniejszych perspektyw. Logika interwencji była zgodna z diagnozą problemów zawartych w Programie i stanowi solidną podstawę do planowania działań w latach 2021–2027.</w:t>
      </w:r>
    </w:p>
    <w:p w14:paraId="40E3363B" w14:textId="63D18F71" w:rsidR="007D0568" w:rsidRPr="00211D94" w:rsidRDefault="00D108E9" w:rsidP="00F55865">
      <w:pPr>
        <w:pStyle w:val="Nagwek2"/>
        <w:spacing w:before="120" w:after="120"/>
        <w:rPr>
          <w:rFonts w:eastAsia="Calibri" w:cs="Arial"/>
          <w:sz w:val="24"/>
          <w:szCs w:val="24"/>
        </w:rPr>
      </w:pPr>
      <w:bookmarkStart w:id="144" w:name="_Toc214025286"/>
      <w:r w:rsidRPr="00211D94">
        <w:rPr>
          <w:rFonts w:eastAsia="Calibri" w:cs="Arial"/>
          <w:sz w:val="24"/>
          <w:szCs w:val="24"/>
        </w:rPr>
        <w:t>OP6. INTEGRACJA</w:t>
      </w:r>
      <w:bookmarkEnd w:id="144"/>
    </w:p>
    <w:tbl>
      <w:tblPr>
        <w:tblW w:w="0" w:type="auto"/>
        <w:tblLook w:val="04A0" w:firstRow="1" w:lastRow="0" w:firstColumn="1" w:lastColumn="0" w:noHBand="0" w:noVBand="1"/>
      </w:tblPr>
      <w:tblGrid>
        <w:gridCol w:w="1626"/>
        <w:gridCol w:w="7446"/>
      </w:tblGrid>
      <w:tr w:rsidR="007D0568" w:rsidRPr="00211D94" w14:paraId="210BBC4F" w14:textId="77777777" w:rsidTr="00711391">
        <w:tc>
          <w:tcPr>
            <w:tcW w:w="1242" w:type="dxa"/>
            <w:shd w:val="clear" w:color="auto" w:fill="auto"/>
          </w:tcPr>
          <w:p w14:paraId="67A4551D" w14:textId="77777777" w:rsidR="007D0568" w:rsidRPr="00211D94" w:rsidRDefault="007D0568" w:rsidP="00F55865">
            <w:pPr>
              <w:spacing w:before="120" w:after="120"/>
              <w:rPr>
                <w:rFonts w:cs="Arial"/>
                <w:b/>
                <w:color w:val="C45911" w:themeColor="accent2" w:themeShade="BF"/>
                <w:szCs w:val="24"/>
              </w:rPr>
            </w:pPr>
            <w:r w:rsidRPr="00211D94">
              <w:rPr>
                <w:rFonts w:cs="Arial"/>
                <w:b/>
                <w:noProof/>
                <w:color w:val="C45911" w:themeColor="accent2" w:themeShade="BF"/>
                <w:szCs w:val="24"/>
                <w:lang w:eastAsia="pl-PL"/>
              </w:rPr>
              <w:drawing>
                <wp:inline distT="0" distB="0" distL="0" distR="0" wp14:anchorId="5882683E" wp14:editId="105CF506">
                  <wp:extent cx="895350" cy="857250"/>
                  <wp:effectExtent l="0" t="0" r="0" b="0"/>
                  <wp:docPr id="29" name="Obraz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tc>
        <w:tc>
          <w:tcPr>
            <w:tcW w:w="7970" w:type="dxa"/>
            <w:shd w:val="clear" w:color="auto" w:fill="auto"/>
          </w:tcPr>
          <w:p w14:paraId="26623804" w14:textId="77777777" w:rsidR="007D0568" w:rsidRPr="00211D94" w:rsidRDefault="007D0568" w:rsidP="00F55865">
            <w:pPr>
              <w:spacing w:before="120" w:after="120"/>
              <w:rPr>
                <w:rFonts w:cs="Arial"/>
                <w:b/>
                <w:szCs w:val="24"/>
              </w:rPr>
            </w:pPr>
            <w:r w:rsidRPr="00211D94">
              <w:rPr>
                <w:rFonts w:cs="Arial"/>
                <w:szCs w:val="24"/>
              </w:rPr>
              <w:t>OP6 odpowiadała na wyzwania dotyczące podniesienia poziomu aktywności społecznej i zawodowej poprzez ukierunkowanie wsparcia na aktywizację społeczno-zawodową osób i rodzin dotkniętych i zagrożonych ubóstwem i wykluczeniem społecznym, usługi społeczne i podmioty ekonomii społecznej.</w:t>
            </w:r>
          </w:p>
        </w:tc>
      </w:tr>
    </w:tbl>
    <w:p w14:paraId="1521FF71"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44C19BB7" w14:textId="1A269E45" w:rsidR="0017642C" w:rsidRPr="00211D94" w:rsidRDefault="0017642C" w:rsidP="0017642C">
      <w:pPr>
        <w:tabs>
          <w:tab w:val="left" w:pos="432"/>
        </w:tabs>
        <w:spacing w:before="120" w:after="120"/>
        <w:rPr>
          <w:rFonts w:cs="Arial"/>
          <w:szCs w:val="24"/>
        </w:rPr>
      </w:pPr>
      <w:r w:rsidRPr="00211D94">
        <w:rPr>
          <w:rFonts w:cs="Arial"/>
          <w:szCs w:val="24"/>
        </w:rPr>
        <w:t xml:space="preserve">W ramach OP6 </w:t>
      </w:r>
      <w:r w:rsidR="002E5874" w:rsidRPr="00211D94">
        <w:rPr>
          <w:rFonts w:cs="Arial"/>
          <w:szCs w:val="24"/>
        </w:rPr>
        <w:t>„</w:t>
      </w:r>
      <w:r w:rsidRPr="00211D94">
        <w:rPr>
          <w:rFonts w:cs="Arial"/>
          <w:szCs w:val="24"/>
        </w:rPr>
        <w:t>Integracja</w:t>
      </w:r>
      <w:r w:rsidR="002E5874" w:rsidRPr="00211D94">
        <w:rPr>
          <w:rFonts w:cs="Arial"/>
          <w:szCs w:val="24"/>
        </w:rPr>
        <w:t>”</w:t>
      </w:r>
      <w:r w:rsidRPr="00211D94">
        <w:rPr>
          <w:rFonts w:cs="Arial"/>
          <w:szCs w:val="24"/>
        </w:rPr>
        <w:t xml:space="preserve"> zawarto </w:t>
      </w:r>
      <w:r w:rsidRPr="00211D94">
        <w:rPr>
          <w:rFonts w:cs="Arial"/>
          <w:b/>
          <w:szCs w:val="24"/>
        </w:rPr>
        <w:t xml:space="preserve">326 </w:t>
      </w:r>
      <w:r w:rsidRPr="00211D94">
        <w:rPr>
          <w:rFonts w:cs="Arial"/>
          <w:szCs w:val="24"/>
        </w:rPr>
        <w:t xml:space="preserve">umów na kwotę </w:t>
      </w:r>
      <w:r w:rsidRPr="00211D94">
        <w:rPr>
          <w:rFonts w:cs="Arial"/>
          <w:b/>
          <w:szCs w:val="24"/>
        </w:rPr>
        <w:t>151 427 637 EUR</w:t>
      </w:r>
      <w:r w:rsidRPr="00211D94">
        <w:rPr>
          <w:rFonts w:cs="Arial"/>
          <w:szCs w:val="24"/>
        </w:rPr>
        <w:t xml:space="preserve">, w tym dofinansowanie UE </w:t>
      </w:r>
      <w:r w:rsidRPr="00211D94">
        <w:rPr>
          <w:rFonts w:cs="Arial"/>
          <w:b/>
          <w:szCs w:val="24"/>
        </w:rPr>
        <w:t>128 713 491 EUR</w:t>
      </w:r>
      <w:r w:rsidRPr="00211D94">
        <w:rPr>
          <w:rFonts w:cs="Arial"/>
          <w:szCs w:val="24"/>
        </w:rPr>
        <w:t xml:space="preserve">. Tym samym kontraktacja w tej Osi została osiągnięta na poziomie </w:t>
      </w:r>
      <w:r w:rsidRPr="00211D94">
        <w:rPr>
          <w:rFonts w:cs="Arial"/>
          <w:b/>
          <w:szCs w:val="24"/>
        </w:rPr>
        <w:t>107%</w:t>
      </w:r>
      <w:r w:rsidRPr="00211D94">
        <w:rPr>
          <w:rFonts w:cs="Arial"/>
          <w:szCs w:val="24"/>
        </w:rPr>
        <w:t xml:space="preserve"> alokacji przeznaczonej na realizację OP6. </w:t>
      </w:r>
    </w:p>
    <w:p w14:paraId="527FA68D" w14:textId="1C84F1F3" w:rsidR="0017642C" w:rsidRPr="00211D94" w:rsidRDefault="0017642C" w:rsidP="0017642C">
      <w:pPr>
        <w:tabs>
          <w:tab w:val="left" w:pos="432"/>
        </w:tabs>
        <w:spacing w:before="120" w:after="120"/>
        <w:rPr>
          <w:rFonts w:cs="Arial"/>
          <w:b/>
          <w:szCs w:val="24"/>
        </w:rPr>
      </w:pPr>
      <w:r w:rsidRPr="00211D94">
        <w:rPr>
          <w:rFonts w:cs="Arial"/>
          <w:szCs w:val="24"/>
        </w:rPr>
        <w:t>W ramach złożonych przez beneficjentów wniosków o płatność uznano za kwalifikowalne</w:t>
      </w:r>
      <w:r w:rsidRPr="00211D94" w:rsidDel="009E6430">
        <w:rPr>
          <w:rFonts w:cs="Arial"/>
          <w:szCs w:val="24"/>
        </w:rPr>
        <w:t xml:space="preserve"> </w:t>
      </w:r>
      <w:r w:rsidRPr="00211D94">
        <w:rPr>
          <w:rFonts w:cs="Arial"/>
          <w:szCs w:val="24"/>
        </w:rPr>
        <w:t xml:space="preserve">wydatki na kwotę </w:t>
      </w:r>
      <w:r w:rsidRPr="00211D94">
        <w:rPr>
          <w:rFonts w:cs="Arial"/>
          <w:b/>
          <w:szCs w:val="24"/>
        </w:rPr>
        <w:t>144 534 395 EUR</w:t>
      </w:r>
      <w:r w:rsidRPr="00211D94">
        <w:rPr>
          <w:rFonts w:cs="Arial"/>
          <w:szCs w:val="24"/>
        </w:rPr>
        <w:t xml:space="preserve">, w tym </w:t>
      </w:r>
      <w:r w:rsidRPr="00211D94">
        <w:rPr>
          <w:rFonts w:cs="Arial"/>
          <w:b/>
          <w:szCs w:val="24"/>
        </w:rPr>
        <w:t>122 836 852 EUR</w:t>
      </w:r>
      <w:r w:rsidRPr="00211D94">
        <w:rPr>
          <w:rFonts w:cs="Arial"/>
          <w:szCs w:val="24"/>
        </w:rPr>
        <w:t xml:space="preserve"> dofinansowania UE, co stanowi </w:t>
      </w:r>
      <w:r w:rsidRPr="00211D94">
        <w:rPr>
          <w:rFonts w:cs="Arial"/>
          <w:b/>
          <w:szCs w:val="24"/>
        </w:rPr>
        <w:t>102,1%</w:t>
      </w:r>
      <w:r w:rsidRPr="00211D94">
        <w:rPr>
          <w:rFonts w:cs="Arial"/>
          <w:szCs w:val="24"/>
        </w:rPr>
        <w:t xml:space="preserve"> przeznaczonej na OP6 alokacji.</w:t>
      </w:r>
      <w:r w:rsidRPr="00211D94">
        <w:rPr>
          <w:rFonts w:cs="Arial"/>
          <w:b/>
          <w:szCs w:val="24"/>
        </w:rPr>
        <w:t xml:space="preserve"> </w:t>
      </w:r>
    </w:p>
    <w:p w14:paraId="06255EB8" w14:textId="3342C341" w:rsidR="0017642C" w:rsidRPr="00211D94" w:rsidRDefault="0017642C" w:rsidP="0017642C">
      <w:pPr>
        <w:tabs>
          <w:tab w:val="left" w:pos="432"/>
        </w:tabs>
        <w:spacing w:before="120" w:after="120"/>
        <w:rPr>
          <w:rFonts w:cs="Arial"/>
          <w:szCs w:val="24"/>
        </w:rPr>
      </w:pPr>
      <w:r w:rsidRPr="00211D94">
        <w:rPr>
          <w:rFonts w:cs="Arial"/>
          <w:szCs w:val="24"/>
        </w:rPr>
        <w:t>Wspólne wskaźniki produktu (zgodnie z Tabelą 4A) zostały osiągnięte w ramach wszystkich działań.</w:t>
      </w:r>
    </w:p>
    <w:p w14:paraId="62AF771B" w14:textId="120BA164" w:rsidR="0017642C" w:rsidRPr="00211D94" w:rsidRDefault="0017642C" w:rsidP="0017642C">
      <w:pPr>
        <w:tabs>
          <w:tab w:val="left" w:pos="432"/>
        </w:tabs>
        <w:spacing w:before="120" w:after="120"/>
        <w:rPr>
          <w:rFonts w:cs="Arial"/>
          <w:szCs w:val="24"/>
        </w:rPr>
      </w:pPr>
      <w:r w:rsidRPr="00211D94">
        <w:rPr>
          <w:rFonts w:cs="Arial"/>
          <w:szCs w:val="24"/>
        </w:rPr>
        <w:t xml:space="preserve">W ramach Działania 6.1. </w:t>
      </w:r>
      <w:r w:rsidR="002E5874" w:rsidRPr="00211D94">
        <w:rPr>
          <w:rFonts w:cs="Arial"/>
          <w:szCs w:val="24"/>
        </w:rPr>
        <w:t>„</w:t>
      </w:r>
      <w:r w:rsidRPr="00211D94">
        <w:rPr>
          <w:rFonts w:cs="Arial"/>
          <w:szCs w:val="24"/>
        </w:rPr>
        <w:t>Aktywna integracja</w:t>
      </w:r>
      <w:r w:rsidR="002E5874" w:rsidRPr="00211D94">
        <w:rPr>
          <w:rFonts w:cs="Arial"/>
          <w:szCs w:val="24"/>
        </w:rPr>
        <w:t>”</w:t>
      </w:r>
      <w:r w:rsidRPr="00211D94">
        <w:rPr>
          <w:rFonts w:cs="Arial"/>
          <w:szCs w:val="24"/>
        </w:rPr>
        <w:t xml:space="preserve"> (PI 9i) pod względem statusu na rynku pracy najwięcej osób objęto wsparciem w grupie osób biernych zawodowo (11 303 osób), najmniej osób pracujących (118 osób). Ponadto w ramach projektów objęto wsparciem 7 200 uczestników z niepełnosprawnościami, 8 269 os</w:t>
      </w:r>
      <w:r w:rsidR="002526A7" w:rsidRPr="00211D94">
        <w:rPr>
          <w:rFonts w:cs="Arial"/>
          <w:szCs w:val="24"/>
        </w:rPr>
        <w:t>ób</w:t>
      </w:r>
      <w:r w:rsidRPr="00211D94">
        <w:rPr>
          <w:rFonts w:cs="Arial"/>
          <w:szCs w:val="24"/>
        </w:rPr>
        <w:t xml:space="preserve"> pochodził</w:t>
      </w:r>
      <w:r w:rsidR="002526A7" w:rsidRPr="00211D94">
        <w:rPr>
          <w:rFonts w:cs="Arial"/>
          <w:szCs w:val="24"/>
        </w:rPr>
        <w:t>o</w:t>
      </w:r>
      <w:r w:rsidRPr="00211D94">
        <w:rPr>
          <w:rFonts w:cs="Arial"/>
          <w:szCs w:val="24"/>
        </w:rPr>
        <w:t xml:space="preserve"> </w:t>
      </w:r>
      <w:r w:rsidRPr="00211D94">
        <w:rPr>
          <w:rFonts w:cs="Arial"/>
          <w:szCs w:val="24"/>
        </w:rPr>
        <w:br/>
        <w:t>z obszarów wiejskich, 9 641 było w niekorzystnej sytuacji.</w:t>
      </w:r>
    </w:p>
    <w:p w14:paraId="007944D8" w14:textId="0AB36196" w:rsidR="0017642C" w:rsidRPr="00211D94" w:rsidRDefault="0017642C" w:rsidP="0017642C">
      <w:pPr>
        <w:tabs>
          <w:tab w:val="left" w:pos="432"/>
        </w:tabs>
        <w:spacing w:before="120" w:after="120"/>
        <w:rPr>
          <w:rFonts w:cs="Arial"/>
          <w:szCs w:val="24"/>
        </w:rPr>
      </w:pPr>
      <w:r w:rsidRPr="00211D94">
        <w:rPr>
          <w:rFonts w:cs="Arial"/>
          <w:szCs w:val="24"/>
        </w:rPr>
        <w:t xml:space="preserve">W przypadku Działania 6.2. </w:t>
      </w:r>
      <w:r w:rsidR="002E5874" w:rsidRPr="00211D94">
        <w:rPr>
          <w:rFonts w:cs="Arial"/>
          <w:szCs w:val="24"/>
        </w:rPr>
        <w:t>„</w:t>
      </w:r>
      <w:r w:rsidRPr="00211D94">
        <w:rPr>
          <w:rFonts w:cs="Arial"/>
          <w:szCs w:val="24"/>
        </w:rPr>
        <w:t>Usługi społeczne</w:t>
      </w:r>
      <w:r w:rsidR="002E5874" w:rsidRPr="00211D94">
        <w:rPr>
          <w:rFonts w:cs="Arial"/>
          <w:szCs w:val="24"/>
        </w:rPr>
        <w:t>”</w:t>
      </w:r>
      <w:r w:rsidRPr="00211D94">
        <w:rPr>
          <w:rFonts w:cs="Arial"/>
          <w:szCs w:val="24"/>
        </w:rPr>
        <w:t xml:space="preserve"> (PI 9iv) pod względem statusu na rynku pracy najwięcej osób objęto wsparciem w grupie osób biernych zawodowo (29 714 osób), najmniej osób bezrobotnych (2 189 osób). Ponadto w ramach projektów objęto wsparciem 9 848 uczestników z niepełnosprawnościami, 19 371 osób pochodziło z obszarów wiejskich.</w:t>
      </w:r>
    </w:p>
    <w:p w14:paraId="4752B383" w14:textId="0BD6D728" w:rsidR="0017642C" w:rsidRPr="00211D94" w:rsidRDefault="0017642C" w:rsidP="0017642C">
      <w:pPr>
        <w:tabs>
          <w:tab w:val="left" w:pos="432"/>
        </w:tabs>
        <w:spacing w:before="120" w:after="120"/>
        <w:rPr>
          <w:rFonts w:cs="Arial"/>
          <w:szCs w:val="24"/>
        </w:rPr>
      </w:pPr>
      <w:r w:rsidRPr="00211D94">
        <w:rPr>
          <w:rFonts w:cs="Arial"/>
          <w:szCs w:val="24"/>
        </w:rPr>
        <w:t xml:space="preserve">Natomiast w ramach Działania 6.3. </w:t>
      </w:r>
      <w:r w:rsidR="002E5874" w:rsidRPr="00211D94">
        <w:rPr>
          <w:rFonts w:cs="Arial"/>
          <w:szCs w:val="24"/>
        </w:rPr>
        <w:t>„</w:t>
      </w:r>
      <w:r w:rsidRPr="00211D94">
        <w:rPr>
          <w:rFonts w:cs="Arial"/>
          <w:szCs w:val="24"/>
        </w:rPr>
        <w:t>Ekonomia społeczna</w:t>
      </w:r>
      <w:r w:rsidR="002E5874" w:rsidRPr="00211D94">
        <w:rPr>
          <w:rFonts w:cs="Arial"/>
          <w:szCs w:val="24"/>
        </w:rPr>
        <w:t>”</w:t>
      </w:r>
      <w:r w:rsidRPr="00211D94">
        <w:rPr>
          <w:rFonts w:cs="Arial"/>
          <w:szCs w:val="24"/>
        </w:rPr>
        <w:t xml:space="preserve"> (PI 9v) pod względem statusu na rynku pracy najwięcej osób objęto wsparciem w grupie osób pracujących (1 570 osób), najmniej osób bezrobotnych (824 osoby). Dodatkowo objęto wsparciem 715 uczestników z niepełnosprawnościami, 1 644 os</w:t>
      </w:r>
      <w:r w:rsidR="002526A7" w:rsidRPr="00211D94">
        <w:rPr>
          <w:rFonts w:cs="Arial"/>
          <w:szCs w:val="24"/>
        </w:rPr>
        <w:t>o</w:t>
      </w:r>
      <w:r w:rsidRPr="00211D94">
        <w:rPr>
          <w:rFonts w:cs="Arial"/>
          <w:szCs w:val="24"/>
        </w:rPr>
        <w:t>b</w:t>
      </w:r>
      <w:r w:rsidR="002526A7" w:rsidRPr="00211D94">
        <w:rPr>
          <w:rFonts w:cs="Arial"/>
          <w:szCs w:val="24"/>
        </w:rPr>
        <w:t>y</w:t>
      </w:r>
      <w:r w:rsidRPr="00211D94">
        <w:rPr>
          <w:rFonts w:cs="Arial"/>
          <w:szCs w:val="24"/>
        </w:rPr>
        <w:t xml:space="preserve"> pochodził</w:t>
      </w:r>
      <w:r w:rsidR="002526A7" w:rsidRPr="00211D94">
        <w:rPr>
          <w:rFonts w:cs="Arial"/>
          <w:szCs w:val="24"/>
        </w:rPr>
        <w:t>y</w:t>
      </w:r>
      <w:r w:rsidRPr="00211D94">
        <w:rPr>
          <w:rFonts w:cs="Arial"/>
          <w:szCs w:val="24"/>
        </w:rPr>
        <w:t xml:space="preserve"> z obszarów wiejskich.</w:t>
      </w:r>
    </w:p>
    <w:p w14:paraId="4ABD8667" w14:textId="77777777" w:rsidR="0017642C" w:rsidRPr="00211D94" w:rsidRDefault="0017642C" w:rsidP="0017642C">
      <w:pPr>
        <w:tabs>
          <w:tab w:val="left" w:pos="432"/>
        </w:tabs>
        <w:spacing w:before="120" w:after="120"/>
        <w:rPr>
          <w:rFonts w:cs="Arial"/>
          <w:szCs w:val="24"/>
        </w:rPr>
      </w:pPr>
      <w:r w:rsidRPr="00211D94">
        <w:rPr>
          <w:rFonts w:cs="Arial"/>
          <w:szCs w:val="24"/>
        </w:rPr>
        <w:t>Specyfika udzielanego wsparcia w ramach poszczególnych PI oraz wynikająca z niej grupa docelowa obejmowana wsparciem w projektach wpływała istotnie na proporcje wskaźników wspólnych.</w:t>
      </w:r>
    </w:p>
    <w:p w14:paraId="63D9EC3E" w14:textId="77777777" w:rsidR="0017642C" w:rsidRPr="00211D94" w:rsidRDefault="0017642C" w:rsidP="0017642C">
      <w:pPr>
        <w:tabs>
          <w:tab w:val="left" w:pos="432"/>
        </w:tabs>
        <w:spacing w:before="120" w:after="120"/>
        <w:rPr>
          <w:rFonts w:cs="Arial"/>
          <w:szCs w:val="24"/>
        </w:rPr>
      </w:pPr>
      <w:r w:rsidRPr="00211D94">
        <w:rPr>
          <w:rFonts w:cs="Arial"/>
          <w:szCs w:val="24"/>
        </w:rPr>
        <w:t>Całkowita liczba uczestników OP6 wynosi 62 011 osób.</w:t>
      </w:r>
    </w:p>
    <w:p w14:paraId="3A48E3A9" w14:textId="77777777" w:rsidR="0017642C" w:rsidRPr="00211D94" w:rsidRDefault="0017642C" w:rsidP="0017642C">
      <w:pPr>
        <w:tabs>
          <w:tab w:val="left" w:pos="432"/>
        </w:tabs>
        <w:spacing w:before="120" w:after="120"/>
        <w:rPr>
          <w:rFonts w:cs="Arial"/>
          <w:szCs w:val="24"/>
        </w:rPr>
      </w:pPr>
      <w:r w:rsidRPr="00211D94">
        <w:rPr>
          <w:rFonts w:cs="Arial"/>
          <w:szCs w:val="24"/>
        </w:rPr>
        <w:t>Liczba uczestników w podziale na Działania przedstawia się następująco:</w:t>
      </w:r>
    </w:p>
    <w:p w14:paraId="19529BC5" w14:textId="34AC64D3" w:rsidR="0017642C" w:rsidRPr="00211D94" w:rsidRDefault="0017642C" w:rsidP="0017642C">
      <w:pPr>
        <w:numPr>
          <w:ilvl w:val="0"/>
          <w:numId w:val="14"/>
        </w:numPr>
        <w:tabs>
          <w:tab w:val="left" w:pos="432"/>
        </w:tabs>
        <w:spacing w:before="120" w:after="120"/>
        <w:rPr>
          <w:rFonts w:cs="Arial"/>
          <w:szCs w:val="24"/>
        </w:rPr>
      </w:pPr>
      <w:r w:rsidRPr="00211D94">
        <w:rPr>
          <w:rFonts w:cs="Arial"/>
          <w:szCs w:val="24"/>
        </w:rPr>
        <w:t>Działanie 6.1.</w:t>
      </w:r>
      <w:r w:rsidR="002E5874" w:rsidRPr="00211D94">
        <w:rPr>
          <w:rFonts w:cs="Arial"/>
          <w:szCs w:val="24"/>
        </w:rPr>
        <w:t>”</w:t>
      </w:r>
      <w:r w:rsidRPr="00211D94">
        <w:rPr>
          <w:rFonts w:cs="Arial"/>
          <w:szCs w:val="24"/>
        </w:rPr>
        <w:t xml:space="preserve"> Aktywna integracja</w:t>
      </w:r>
      <w:r w:rsidR="002E5874" w:rsidRPr="00211D94">
        <w:rPr>
          <w:rFonts w:cs="Arial"/>
          <w:szCs w:val="24"/>
        </w:rPr>
        <w:t>”</w:t>
      </w:r>
      <w:r w:rsidRPr="00211D94">
        <w:rPr>
          <w:rFonts w:cs="Arial"/>
          <w:szCs w:val="24"/>
        </w:rPr>
        <w:t xml:space="preserve"> (PI 9i) – 19 204</w:t>
      </w:r>
    </w:p>
    <w:p w14:paraId="112E9216" w14:textId="3934AD6E" w:rsidR="0017642C" w:rsidRPr="00211D94" w:rsidRDefault="0017642C" w:rsidP="0017642C">
      <w:pPr>
        <w:numPr>
          <w:ilvl w:val="0"/>
          <w:numId w:val="14"/>
        </w:numPr>
        <w:tabs>
          <w:tab w:val="left" w:pos="432"/>
        </w:tabs>
        <w:spacing w:before="120" w:after="120"/>
        <w:rPr>
          <w:rFonts w:cs="Arial"/>
          <w:szCs w:val="24"/>
        </w:rPr>
      </w:pPr>
      <w:r w:rsidRPr="00211D94">
        <w:rPr>
          <w:rFonts w:cs="Arial"/>
          <w:szCs w:val="24"/>
        </w:rPr>
        <w:t xml:space="preserve">Działania 6.2. </w:t>
      </w:r>
      <w:r w:rsidR="002E5874" w:rsidRPr="00211D94">
        <w:rPr>
          <w:rFonts w:cs="Arial"/>
          <w:szCs w:val="24"/>
        </w:rPr>
        <w:t>„</w:t>
      </w:r>
      <w:r w:rsidRPr="00211D94">
        <w:rPr>
          <w:rFonts w:cs="Arial"/>
          <w:szCs w:val="24"/>
        </w:rPr>
        <w:t>Usługi społeczne</w:t>
      </w:r>
      <w:r w:rsidR="002E5874" w:rsidRPr="00211D94">
        <w:rPr>
          <w:rFonts w:cs="Arial"/>
          <w:szCs w:val="24"/>
        </w:rPr>
        <w:t>”</w:t>
      </w:r>
      <w:r w:rsidRPr="00211D94">
        <w:rPr>
          <w:rFonts w:cs="Arial"/>
          <w:szCs w:val="24"/>
        </w:rPr>
        <w:t xml:space="preserve"> (PI 9iv) – 39 493</w:t>
      </w:r>
    </w:p>
    <w:p w14:paraId="42A70E57" w14:textId="0BB841EA" w:rsidR="0017642C" w:rsidRPr="00211D94" w:rsidRDefault="0017642C" w:rsidP="0017642C">
      <w:pPr>
        <w:numPr>
          <w:ilvl w:val="0"/>
          <w:numId w:val="14"/>
        </w:numPr>
        <w:tabs>
          <w:tab w:val="left" w:pos="432"/>
        </w:tabs>
        <w:spacing w:before="120" w:after="120"/>
        <w:rPr>
          <w:rFonts w:cs="Arial"/>
          <w:szCs w:val="24"/>
        </w:rPr>
      </w:pPr>
      <w:r w:rsidRPr="00211D94">
        <w:rPr>
          <w:rFonts w:cs="Arial"/>
          <w:szCs w:val="24"/>
        </w:rPr>
        <w:t xml:space="preserve">Działania 6.3. </w:t>
      </w:r>
      <w:r w:rsidR="002E5874" w:rsidRPr="00211D94">
        <w:rPr>
          <w:rFonts w:cs="Arial"/>
          <w:szCs w:val="24"/>
        </w:rPr>
        <w:t>„</w:t>
      </w:r>
      <w:r w:rsidRPr="00211D94">
        <w:rPr>
          <w:rFonts w:cs="Arial"/>
          <w:szCs w:val="24"/>
        </w:rPr>
        <w:t>Ekonomia społeczna</w:t>
      </w:r>
      <w:r w:rsidR="002E5874" w:rsidRPr="00211D94">
        <w:rPr>
          <w:rFonts w:cs="Arial"/>
          <w:szCs w:val="24"/>
        </w:rPr>
        <w:t>”</w:t>
      </w:r>
      <w:r w:rsidRPr="00211D94">
        <w:rPr>
          <w:rFonts w:cs="Arial"/>
          <w:szCs w:val="24"/>
        </w:rPr>
        <w:t xml:space="preserve"> (PI 9v) - 3 314</w:t>
      </w:r>
    </w:p>
    <w:p w14:paraId="1DDDE9DD" w14:textId="1B2552AB" w:rsidR="0017642C" w:rsidRPr="00211D94" w:rsidRDefault="0017642C" w:rsidP="0017642C">
      <w:pPr>
        <w:tabs>
          <w:tab w:val="left" w:pos="432"/>
        </w:tabs>
        <w:spacing w:before="120" w:after="120"/>
        <w:rPr>
          <w:rFonts w:cs="Arial"/>
          <w:szCs w:val="24"/>
        </w:rPr>
      </w:pPr>
      <w:r w:rsidRPr="00211D94">
        <w:rPr>
          <w:rFonts w:cs="Arial"/>
          <w:szCs w:val="24"/>
        </w:rPr>
        <w:t xml:space="preserve">W przypadku specyficznych dla Programu wskaźników produktu (zgodnie z Tabelą 4B) odnotowano realizację wszystkich wskaźników. Dla Działania 6.1. </w:t>
      </w:r>
      <w:r w:rsidR="002E5874" w:rsidRPr="00211D94">
        <w:rPr>
          <w:rFonts w:cs="Arial"/>
          <w:szCs w:val="24"/>
        </w:rPr>
        <w:t>„</w:t>
      </w:r>
      <w:r w:rsidRPr="00211D94">
        <w:rPr>
          <w:rFonts w:cs="Arial"/>
          <w:szCs w:val="24"/>
        </w:rPr>
        <w:t>Aktywna integracja</w:t>
      </w:r>
      <w:r w:rsidR="002E5874" w:rsidRPr="00211D94">
        <w:rPr>
          <w:rFonts w:cs="Arial"/>
          <w:szCs w:val="24"/>
        </w:rPr>
        <w:t>”</w:t>
      </w:r>
      <w:r w:rsidRPr="00211D94">
        <w:rPr>
          <w:rFonts w:cs="Arial"/>
          <w:szCs w:val="24"/>
        </w:rPr>
        <w:t xml:space="preserve"> (PI 9i) wskaźnik </w:t>
      </w:r>
      <w:r w:rsidR="002E5874" w:rsidRPr="00211D94">
        <w:rPr>
          <w:rFonts w:cs="Arial"/>
          <w:szCs w:val="24"/>
        </w:rPr>
        <w:t>„</w:t>
      </w:r>
      <w:r w:rsidRPr="00211D94">
        <w:rPr>
          <w:rFonts w:cs="Arial"/>
          <w:szCs w:val="24"/>
        </w:rPr>
        <w:t>Liczba osób zagrożonych ubóstwem lub wykluczeniem społecznym objętych wsparciem w Programie</w:t>
      </w:r>
      <w:r w:rsidR="002E5874" w:rsidRPr="00211D94">
        <w:rPr>
          <w:rFonts w:cs="Arial"/>
          <w:szCs w:val="24"/>
        </w:rPr>
        <w:t>”</w:t>
      </w:r>
      <w:r w:rsidRPr="00211D94">
        <w:rPr>
          <w:rFonts w:cs="Arial"/>
          <w:szCs w:val="24"/>
        </w:rPr>
        <w:t xml:space="preserve"> wyniósł 19 432 (wskaźnik osiągnięć 117%). W ramach Działania 6.2 wskaźnik </w:t>
      </w:r>
      <w:r w:rsidR="002E5874" w:rsidRPr="00211D94">
        <w:rPr>
          <w:rFonts w:cs="Arial"/>
          <w:szCs w:val="24"/>
        </w:rPr>
        <w:t>„</w:t>
      </w:r>
      <w:r w:rsidRPr="00211D94">
        <w:rPr>
          <w:rFonts w:cs="Arial"/>
          <w:szCs w:val="24"/>
        </w:rPr>
        <w:t>Liczba osób zagrożonych ubóstwem lub wykluczeniem społecznym objętych usługami społecznymi świadczonymi w interesie ogólnym w Programie</w:t>
      </w:r>
      <w:r w:rsidR="002E5874" w:rsidRPr="00211D94">
        <w:rPr>
          <w:rFonts w:cs="Arial"/>
          <w:szCs w:val="24"/>
        </w:rPr>
        <w:t>”</w:t>
      </w:r>
      <w:r w:rsidRPr="00211D94">
        <w:rPr>
          <w:rFonts w:cs="Arial"/>
          <w:szCs w:val="24"/>
        </w:rPr>
        <w:t xml:space="preserve"> wyniósł 34 801 (wskaźnik osiągnięć 282,5%). Natomiast </w:t>
      </w:r>
      <w:r w:rsidRPr="00211D94">
        <w:rPr>
          <w:rFonts w:cs="Arial"/>
          <w:szCs w:val="24"/>
        </w:rPr>
        <w:br/>
        <w:t xml:space="preserve">w Działaniu 6.3 wskaźniki </w:t>
      </w:r>
      <w:r w:rsidR="002E5874" w:rsidRPr="00211D94">
        <w:rPr>
          <w:rFonts w:cs="Arial"/>
          <w:szCs w:val="24"/>
        </w:rPr>
        <w:t>„</w:t>
      </w:r>
      <w:r w:rsidRPr="00211D94">
        <w:rPr>
          <w:rFonts w:cs="Arial"/>
          <w:szCs w:val="24"/>
        </w:rPr>
        <w:t>Liczba osób zagrożonych ubóstwem lub wykluczeniem społecznym objętych wsparciem w Programie</w:t>
      </w:r>
      <w:r w:rsidR="002E5874" w:rsidRPr="00211D94">
        <w:rPr>
          <w:rFonts w:cs="Arial"/>
          <w:szCs w:val="24"/>
        </w:rPr>
        <w:t>”</w:t>
      </w:r>
      <w:r w:rsidRPr="00211D94">
        <w:rPr>
          <w:rFonts w:cs="Arial"/>
          <w:szCs w:val="24"/>
        </w:rPr>
        <w:t xml:space="preserve"> oraz </w:t>
      </w:r>
      <w:r w:rsidR="002E5874" w:rsidRPr="00211D94">
        <w:rPr>
          <w:rFonts w:cs="Arial"/>
          <w:szCs w:val="24"/>
        </w:rPr>
        <w:t>„</w:t>
      </w:r>
      <w:r w:rsidRPr="00211D94">
        <w:rPr>
          <w:rFonts w:cs="Arial"/>
          <w:szCs w:val="24"/>
        </w:rPr>
        <w:t>Liczba podmiotów ekonomii społecznej objętych wsparciem</w:t>
      </w:r>
      <w:r w:rsidR="002E5874" w:rsidRPr="00211D94">
        <w:rPr>
          <w:rFonts w:cs="Arial"/>
          <w:szCs w:val="24"/>
        </w:rPr>
        <w:t>”</w:t>
      </w:r>
      <w:r w:rsidRPr="00211D94">
        <w:rPr>
          <w:rFonts w:cs="Arial"/>
          <w:szCs w:val="24"/>
        </w:rPr>
        <w:t xml:space="preserve"> - odpowiednio 1 765 osób oraz 860 szt. (wskaźnik osiągnięć kolejno 126,1% oraz 191,1%).</w:t>
      </w:r>
    </w:p>
    <w:p w14:paraId="133DF9C2" w14:textId="15E66F04" w:rsidR="004867E0" w:rsidRPr="00211D94" w:rsidRDefault="004867E0" w:rsidP="0017642C">
      <w:pPr>
        <w:tabs>
          <w:tab w:val="left" w:pos="432"/>
        </w:tabs>
        <w:spacing w:before="120" w:after="120"/>
        <w:rPr>
          <w:rFonts w:cs="Arial"/>
          <w:szCs w:val="24"/>
        </w:rPr>
      </w:pPr>
      <w:r w:rsidRPr="00211D94">
        <w:rPr>
          <w:rFonts w:cs="Arial"/>
          <w:szCs w:val="24"/>
        </w:rPr>
        <w:t>Spośród siedmiu wskaźników produktu specyficznych dla EFS (zgodnie z Tabelą 4B), w przypadku sześciu wartości docelowych odnotowano przekroczenie zakładanych poziomów. Dotyczy to zarówno wskaźników związanych z przeciwdziałaniem skutkom pandemii COVID-19 (np. „Liczba osób objętych wsparciem w zakresie zwalczania lub przeciwdziałania skutkom pandemii COVID-19”, którego wartość osiągnęła 1 054,3%), jak i tych odnoszących się do zagrożenia ubóstwem oraz wykluczeniem społecznym. Choć w ramach tej osi priorytetowej grupę docelową stanowią osoby bardziej oddalone od rynku pracy i zmagające się z innymi problemami niż uczestnicy działań realizowanych w OP5, uzyskane wyniki wskazują, że potrzeby w obszarze ekonomii społecznej są wciąż bardzo duże. Wartości docelowe wskaźników nie zostały określone na poziomie umożliwiającym pełne zniwelowanie tych problemów, co potwierdza konieczność kontynuacji działań w tym zakresie.</w:t>
      </w:r>
    </w:p>
    <w:p w14:paraId="656176FC" w14:textId="77777777" w:rsidR="0017642C" w:rsidRPr="00211D94" w:rsidRDefault="0017642C" w:rsidP="0017642C">
      <w:pPr>
        <w:tabs>
          <w:tab w:val="left" w:pos="432"/>
        </w:tabs>
        <w:spacing w:before="120" w:after="120"/>
        <w:rPr>
          <w:rFonts w:cs="Arial"/>
          <w:szCs w:val="24"/>
        </w:rPr>
      </w:pPr>
      <w:r w:rsidRPr="00211D94">
        <w:rPr>
          <w:rFonts w:cs="Arial"/>
          <w:szCs w:val="24"/>
        </w:rPr>
        <w:t xml:space="preserve">Stopień realizacji wskaźników produktu przełożył się na stopień realizacji wskaźników rezultatu. </w:t>
      </w:r>
    </w:p>
    <w:p w14:paraId="671E881F" w14:textId="53B4C752" w:rsidR="0017642C" w:rsidRPr="00211D94" w:rsidRDefault="0017642C" w:rsidP="0017642C">
      <w:pPr>
        <w:tabs>
          <w:tab w:val="left" w:pos="432"/>
        </w:tabs>
        <w:spacing w:before="120" w:after="120"/>
        <w:rPr>
          <w:rFonts w:cs="Arial"/>
          <w:szCs w:val="24"/>
        </w:rPr>
      </w:pPr>
      <w:r w:rsidRPr="00211D94">
        <w:rPr>
          <w:rFonts w:cs="Arial"/>
          <w:szCs w:val="24"/>
        </w:rPr>
        <w:t xml:space="preserve">W ramach Działania 6.1. </w:t>
      </w:r>
      <w:r w:rsidR="002E5874" w:rsidRPr="00211D94">
        <w:rPr>
          <w:rFonts w:cs="Arial"/>
          <w:szCs w:val="24"/>
        </w:rPr>
        <w:t>„</w:t>
      </w:r>
      <w:r w:rsidRPr="00211D94">
        <w:rPr>
          <w:rFonts w:cs="Arial"/>
          <w:szCs w:val="24"/>
        </w:rPr>
        <w:t>Aktywna integracja</w:t>
      </w:r>
      <w:r w:rsidR="002E5874" w:rsidRPr="00211D94">
        <w:rPr>
          <w:rFonts w:cs="Arial"/>
          <w:szCs w:val="24"/>
        </w:rPr>
        <w:t>”</w:t>
      </w:r>
      <w:r w:rsidRPr="00211D94">
        <w:rPr>
          <w:rFonts w:cs="Arial"/>
          <w:szCs w:val="24"/>
        </w:rPr>
        <w:t xml:space="preserve"> (PI 9i) odnotowano realizację następujących wskaźników (zgodnie z Tabelą 2A):</w:t>
      </w:r>
    </w:p>
    <w:p w14:paraId="195900A7" w14:textId="77777777" w:rsidR="0017642C" w:rsidRPr="00211D94" w:rsidRDefault="0017642C" w:rsidP="0017642C">
      <w:pPr>
        <w:numPr>
          <w:ilvl w:val="0"/>
          <w:numId w:val="11"/>
        </w:numPr>
        <w:tabs>
          <w:tab w:val="left" w:pos="432"/>
        </w:tabs>
        <w:spacing w:before="120" w:after="120"/>
        <w:rPr>
          <w:rFonts w:cs="Arial"/>
          <w:szCs w:val="24"/>
        </w:rPr>
      </w:pPr>
      <w:r w:rsidRPr="00211D94">
        <w:rPr>
          <w:rFonts w:cs="Arial"/>
          <w:szCs w:val="24"/>
        </w:rPr>
        <w:t>3 580 osób biernych zawodowo poszukiwało pracy po opuszczeniu Programu,</w:t>
      </w:r>
    </w:p>
    <w:p w14:paraId="067AD605" w14:textId="77777777" w:rsidR="0017642C" w:rsidRPr="00211D94" w:rsidRDefault="0017642C" w:rsidP="0017642C">
      <w:pPr>
        <w:numPr>
          <w:ilvl w:val="0"/>
          <w:numId w:val="11"/>
        </w:numPr>
        <w:tabs>
          <w:tab w:val="left" w:pos="432"/>
        </w:tabs>
        <w:spacing w:before="120" w:after="120"/>
        <w:rPr>
          <w:rFonts w:cs="Arial"/>
          <w:szCs w:val="24"/>
        </w:rPr>
      </w:pPr>
      <w:r w:rsidRPr="00211D94">
        <w:rPr>
          <w:rFonts w:cs="Arial"/>
          <w:szCs w:val="24"/>
        </w:rPr>
        <w:t>8 004 osoby uzyskały kwalifikacje po opuszczeniu Programu,</w:t>
      </w:r>
    </w:p>
    <w:p w14:paraId="31713F01" w14:textId="77777777" w:rsidR="0017642C" w:rsidRPr="00211D94" w:rsidRDefault="0017642C" w:rsidP="0017642C">
      <w:pPr>
        <w:numPr>
          <w:ilvl w:val="0"/>
          <w:numId w:val="11"/>
        </w:numPr>
        <w:tabs>
          <w:tab w:val="left" w:pos="432"/>
        </w:tabs>
        <w:spacing w:before="120" w:after="120"/>
        <w:rPr>
          <w:rFonts w:cs="Arial"/>
          <w:szCs w:val="24"/>
        </w:rPr>
      </w:pPr>
      <w:r w:rsidRPr="00211D94">
        <w:rPr>
          <w:rFonts w:cs="Arial"/>
          <w:szCs w:val="24"/>
        </w:rPr>
        <w:t>5 643 osób podjęło pracę po opuszczeniu Programu,</w:t>
      </w:r>
    </w:p>
    <w:p w14:paraId="608AE440" w14:textId="77777777" w:rsidR="0017642C" w:rsidRPr="00211D94" w:rsidRDefault="0017642C" w:rsidP="0017642C">
      <w:pPr>
        <w:numPr>
          <w:ilvl w:val="0"/>
          <w:numId w:val="11"/>
        </w:numPr>
        <w:tabs>
          <w:tab w:val="left" w:pos="432"/>
        </w:tabs>
        <w:spacing w:before="120" w:after="120"/>
        <w:rPr>
          <w:rFonts w:cs="Arial"/>
          <w:szCs w:val="24"/>
        </w:rPr>
      </w:pPr>
      <w:r w:rsidRPr="00211D94">
        <w:rPr>
          <w:rFonts w:cs="Arial"/>
          <w:szCs w:val="24"/>
        </w:rPr>
        <w:t>9 726 osób w niekorzystnej sytuacji społecznej poszukiwało pracy, uczestniczyło w kształceniu lub szkoleniu, zdobywało kwalifikacje lub byli zatrudnieni po opuszczeniu Programu.</w:t>
      </w:r>
    </w:p>
    <w:p w14:paraId="4B6351C0" w14:textId="55FCB94F" w:rsidR="0017642C" w:rsidRPr="00211D94" w:rsidRDefault="0017642C" w:rsidP="0017642C">
      <w:pPr>
        <w:tabs>
          <w:tab w:val="left" w:pos="432"/>
        </w:tabs>
        <w:spacing w:before="120" w:after="120"/>
        <w:rPr>
          <w:rFonts w:cs="Arial"/>
          <w:szCs w:val="24"/>
        </w:rPr>
      </w:pPr>
      <w:r w:rsidRPr="00211D94">
        <w:rPr>
          <w:rFonts w:cs="Arial"/>
          <w:szCs w:val="24"/>
        </w:rPr>
        <w:t xml:space="preserve">W ramach Działania 6.2. </w:t>
      </w:r>
      <w:r w:rsidR="002E5874" w:rsidRPr="00211D94">
        <w:rPr>
          <w:rFonts w:cs="Arial"/>
          <w:szCs w:val="24"/>
        </w:rPr>
        <w:t>„</w:t>
      </w:r>
      <w:r w:rsidRPr="00211D94">
        <w:rPr>
          <w:rFonts w:cs="Arial"/>
          <w:szCs w:val="24"/>
        </w:rPr>
        <w:t>Usługi społeczne</w:t>
      </w:r>
      <w:r w:rsidR="002E5874" w:rsidRPr="00211D94">
        <w:rPr>
          <w:rFonts w:cs="Arial"/>
          <w:szCs w:val="24"/>
        </w:rPr>
        <w:t>”</w:t>
      </w:r>
      <w:r w:rsidRPr="00211D94">
        <w:rPr>
          <w:rFonts w:cs="Arial"/>
          <w:szCs w:val="24"/>
        </w:rPr>
        <w:t xml:space="preserve"> (PI 9iv) realizacja wspólnych wskaźników rezultatu wygląda następująco:</w:t>
      </w:r>
    </w:p>
    <w:p w14:paraId="3C441F2C"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270 osób biernych zawodowo poszukiwało pracy po opuszczeniu Programu,</w:t>
      </w:r>
    </w:p>
    <w:p w14:paraId="1C6CAE75"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414 osób uzyskało kwalifikacje po opuszczeniu Programu,</w:t>
      </w:r>
    </w:p>
    <w:p w14:paraId="106D7F52"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154 osoby podjęły pracę po opuszczeniu Programu,</w:t>
      </w:r>
    </w:p>
    <w:p w14:paraId="53BA24D6"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 xml:space="preserve">467 osób w niekorzystnej sytuacji społecznej poszukiwała pracy, uczestniczyła </w:t>
      </w:r>
      <w:r w:rsidRPr="00211D94">
        <w:rPr>
          <w:rFonts w:cs="Arial"/>
          <w:szCs w:val="24"/>
        </w:rPr>
        <w:br/>
        <w:t>w kształceniu lub szkoleniu, zdobyła kwalifikacje lub była zatrudniona po opuszczeniu Programu.</w:t>
      </w:r>
    </w:p>
    <w:p w14:paraId="2723FA7D" w14:textId="0DDB26FE" w:rsidR="0017642C" w:rsidRPr="00211D94" w:rsidRDefault="0017642C" w:rsidP="0017642C">
      <w:pPr>
        <w:tabs>
          <w:tab w:val="left" w:pos="432"/>
        </w:tabs>
        <w:spacing w:before="120" w:after="120"/>
        <w:rPr>
          <w:rFonts w:cs="Arial"/>
          <w:szCs w:val="24"/>
        </w:rPr>
      </w:pPr>
      <w:r w:rsidRPr="00211D94">
        <w:rPr>
          <w:rFonts w:cs="Arial"/>
          <w:szCs w:val="24"/>
        </w:rPr>
        <w:t xml:space="preserve">W ramach Działania 6.3. </w:t>
      </w:r>
      <w:r w:rsidR="002E5874" w:rsidRPr="00211D94">
        <w:rPr>
          <w:rFonts w:cs="Arial"/>
          <w:szCs w:val="24"/>
        </w:rPr>
        <w:t>„</w:t>
      </w:r>
      <w:r w:rsidRPr="00211D94">
        <w:rPr>
          <w:rFonts w:cs="Arial"/>
          <w:szCs w:val="24"/>
        </w:rPr>
        <w:t>Ekonomia społeczna</w:t>
      </w:r>
      <w:r w:rsidR="002E5874" w:rsidRPr="00211D94">
        <w:rPr>
          <w:rFonts w:cs="Arial"/>
          <w:szCs w:val="24"/>
        </w:rPr>
        <w:t>”</w:t>
      </w:r>
      <w:r w:rsidRPr="00211D94">
        <w:rPr>
          <w:rFonts w:cs="Arial"/>
          <w:szCs w:val="24"/>
        </w:rPr>
        <w:t xml:space="preserve"> (PI 9v) realizacja wspólnych wskaźników rezultatu wygląda następująco:</w:t>
      </w:r>
    </w:p>
    <w:p w14:paraId="2A4D5199"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39 osób uzyskało kwalifikacje po opuszczeniu Programu,</w:t>
      </w:r>
    </w:p>
    <w:p w14:paraId="7340194B"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505 osób podjęło pracę po opuszczeniu Programu,</w:t>
      </w:r>
    </w:p>
    <w:p w14:paraId="7D1753B8" w14:textId="77777777" w:rsidR="0017642C" w:rsidRPr="00211D94" w:rsidRDefault="0017642C" w:rsidP="0017642C">
      <w:pPr>
        <w:numPr>
          <w:ilvl w:val="0"/>
          <w:numId w:val="34"/>
        </w:numPr>
        <w:tabs>
          <w:tab w:val="left" w:pos="432"/>
        </w:tabs>
        <w:spacing w:before="120" w:after="120"/>
        <w:rPr>
          <w:rFonts w:cs="Arial"/>
          <w:szCs w:val="24"/>
        </w:rPr>
      </w:pPr>
      <w:r w:rsidRPr="00211D94">
        <w:rPr>
          <w:rFonts w:cs="Arial"/>
          <w:szCs w:val="24"/>
        </w:rPr>
        <w:t xml:space="preserve">400 osób w niekorzystnej sytuacji społecznej poszukiwała pracy, uczestniczyła </w:t>
      </w:r>
      <w:r w:rsidRPr="00211D94">
        <w:rPr>
          <w:rFonts w:cs="Arial"/>
          <w:szCs w:val="24"/>
        </w:rPr>
        <w:br/>
        <w:t>w kształceniu lub szkoleniu, zdobyła kwalifikacje lub była zatrudniona po opuszczeniu Programu.</w:t>
      </w:r>
    </w:p>
    <w:p w14:paraId="02F3B541" w14:textId="582669B3" w:rsidR="0017642C" w:rsidRPr="00211D94" w:rsidRDefault="0017642C" w:rsidP="0017642C">
      <w:pPr>
        <w:tabs>
          <w:tab w:val="left" w:pos="432"/>
        </w:tabs>
        <w:spacing w:before="120" w:after="120"/>
        <w:rPr>
          <w:rFonts w:cs="Arial"/>
          <w:szCs w:val="24"/>
        </w:rPr>
      </w:pPr>
      <w:r w:rsidRPr="00211D94">
        <w:rPr>
          <w:rFonts w:cs="Arial"/>
          <w:szCs w:val="24"/>
        </w:rPr>
        <w:t xml:space="preserve">Zgodnie z Tabelą 2C w ramach Działania 6.1. </w:t>
      </w:r>
      <w:r w:rsidR="002E5874" w:rsidRPr="00211D94">
        <w:rPr>
          <w:rFonts w:cs="Arial"/>
          <w:szCs w:val="24"/>
        </w:rPr>
        <w:t>„</w:t>
      </w:r>
      <w:r w:rsidRPr="00211D94">
        <w:rPr>
          <w:rFonts w:cs="Arial"/>
          <w:szCs w:val="24"/>
        </w:rPr>
        <w:t>Aktywna integracja</w:t>
      </w:r>
      <w:r w:rsidR="002E5874" w:rsidRPr="00211D94">
        <w:rPr>
          <w:rFonts w:cs="Arial"/>
          <w:szCs w:val="24"/>
        </w:rPr>
        <w:t>”</w:t>
      </w:r>
      <w:r w:rsidRPr="00211D94">
        <w:rPr>
          <w:rFonts w:cs="Arial"/>
          <w:szCs w:val="24"/>
        </w:rPr>
        <w:t xml:space="preserve"> (PI 9i) zostały osiągnięte wskaźniki rezultatu specyficzne dla Programu tj.:</w:t>
      </w:r>
    </w:p>
    <w:p w14:paraId="5A7D3862" w14:textId="67B7E17C" w:rsidR="0017642C" w:rsidRPr="00211D94" w:rsidRDefault="002E5874" w:rsidP="0017642C">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pracujących po opuszczeniu Programu (łącznie z pracującymi na własny rachunek)</w:t>
      </w:r>
      <w:r w:rsidRPr="00211D94">
        <w:rPr>
          <w:rFonts w:cs="Arial"/>
          <w:szCs w:val="24"/>
        </w:rPr>
        <w:t>”</w:t>
      </w:r>
      <w:r w:rsidR="0017642C" w:rsidRPr="00211D94">
        <w:rPr>
          <w:rFonts w:cs="Arial"/>
          <w:szCs w:val="24"/>
        </w:rPr>
        <w:t xml:space="preserve"> –</w:t>
      </w:r>
      <w:r w:rsidR="0087241E" w:rsidRPr="00211D94">
        <w:rPr>
          <w:rFonts w:cs="Arial"/>
          <w:szCs w:val="24"/>
        </w:rPr>
        <w:t xml:space="preserve"> </w:t>
      </w:r>
      <w:r w:rsidR="0017642C" w:rsidRPr="00211D94">
        <w:rPr>
          <w:rFonts w:cs="Arial"/>
          <w:szCs w:val="24"/>
        </w:rPr>
        <w:t>5 698 osób co stanowi 29,85%,</w:t>
      </w:r>
    </w:p>
    <w:p w14:paraId="10E8E32B" w14:textId="1B6F040F" w:rsidR="0017642C" w:rsidRPr="00211D94" w:rsidRDefault="002E5874" w:rsidP="0017642C">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które uzyskały kwalifikacje lub nabyły kompetencje po opuszczeniu Programu</w:t>
      </w:r>
      <w:r w:rsidRPr="00211D94">
        <w:rPr>
          <w:rFonts w:cs="Arial"/>
          <w:szCs w:val="24"/>
        </w:rPr>
        <w:t>”</w:t>
      </w:r>
      <w:r w:rsidR="0017642C" w:rsidRPr="00211D94">
        <w:rPr>
          <w:rFonts w:cs="Arial"/>
          <w:szCs w:val="24"/>
        </w:rPr>
        <w:t xml:space="preserve"> – 6 576 osób co stanowi 33,84%,</w:t>
      </w:r>
    </w:p>
    <w:p w14:paraId="515FB1C0" w14:textId="0186F79D" w:rsidR="0017642C" w:rsidRPr="00211D94" w:rsidRDefault="002E5874" w:rsidP="0017642C">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poszukujących pracy po opuszczeniu Programu</w:t>
      </w:r>
      <w:r w:rsidRPr="00211D94">
        <w:rPr>
          <w:rFonts w:cs="Arial"/>
          <w:szCs w:val="24"/>
        </w:rPr>
        <w:t>”</w:t>
      </w:r>
      <w:r w:rsidR="0017642C" w:rsidRPr="00211D94">
        <w:rPr>
          <w:rFonts w:cs="Arial"/>
          <w:szCs w:val="24"/>
        </w:rPr>
        <w:t xml:space="preserve"> – 4 513 os</w:t>
      </w:r>
      <w:r w:rsidR="008E54B7" w:rsidRPr="00211D94">
        <w:rPr>
          <w:rFonts w:cs="Arial"/>
          <w:szCs w:val="24"/>
        </w:rPr>
        <w:t>ób</w:t>
      </w:r>
      <w:r w:rsidR="0017642C" w:rsidRPr="00211D94">
        <w:rPr>
          <w:rFonts w:cs="Arial"/>
          <w:szCs w:val="24"/>
        </w:rPr>
        <w:t xml:space="preserve"> co stanowi 39,93%.</w:t>
      </w:r>
    </w:p>
    <w:p w14:paraId="5F32F761" w14:textId="2FF948C8" w:rsidR="0017642C" w:rsidRPr="00211D94" w:rsidRDefault="0017642C" w:rsidP="0017642C">
      <w:pPr>
        <w:tabs>
          <w:tab w:val="left" w:pos="432"/>
        </w:tabs>
        <w:spacing w:before="120" w:after="120"/>
        <w:rPr>
          <w:rFonts w:cs="Arial"/>
          <w:szCs w:val="24"/>
        </w:rPr>
      </w:pPr>
      <w:r w:rsidRPr="00211D94">
        <w:rPr>
          <w:rFonts w:cs="Arial"/>
          <w:szCs w:val="24"/>
        </w:rPr>
        <w:t xml:space="preserve">Dla Działania 6.2. </w:t>
      </w:r>
      <w:r w:rsidR="002E5874" w:rsidRPr="00211D94">
        <w:rPr>
          <w:rFonts w:cs="Arial"/>
          <w:szCs w:val="24"/>
        </w:rPr>
        <w:t>„</w:t>
      </w:r>
      <w:r w:rsidRPr="00211D94">
        <w:rPr>
          <w:rFonts w:cs="Arial"/>
          <w:szCs w:val="24"/>
        </w:rPr>
        <w:t>Usługi społeczne</w:t>
      </w:r>
      <w:r w:rsidR="002E5874" w:rsidRPr="00211D94">
        <w:rPr>
          <w:rFonts w:cs="Arial"/>
          <w:szCs w:val="24"/>
        </w:rPr>
        <w:t>”</w:t>
      </w:r>
      <w:r w:rsidRPr="00211D94">
        <w:rPr>
          <w:rFonts w:cs="Arial"/>
          <w:szCs w:val="24"/>
        </w:rPr>
        <w:t xml:space="preserve"> (PI 9iv) osiągnięte poziomy wskaźników rezultatu specyficznych dla Programu są bardzo zróżnicowane: </w:t>
      </w:r>
    </w:p>
    <w:p w14:paraId="6C6DE94C" w14:textId="4D458A60" w:rsidR="0076667A" w:rsidRPr="00211D94" w:rsidRDefault="002E5874" w:rsidP="0076667A">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211D94">
        <w:rPr>
          <w:rFonts w:cs="Arial"/>
          <w:szCs w:val="24"/>
        </w:rPr>
        <w:t>”</w:t>
      </w:r>
      <w:r w:rsidR="0017642C" w:rsidRPr="00211D94">
        <w:rPr>
          <w:rFonts w:cs="Arial"/>
          <w:szCs w:val="24"/>
        </w:rPr>
        <w:t xml:space="preserve"> –1 136 osób co stanowi 3,42%</w:t>
      </w:r>
    </w:p>
    <w:p w14:paraId="20814ED1" w14:textId="2A105A9D" w:rsidR="004867E0" w:rsidRPr="00211D94" w:rsidRDefault="002E5874" w:rsidP="0076667A">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wspartych w Programie miejsc świadczenia usług społecznych istniejących po zakończeniu projektu</w:t>
      </w:r>
      <w:r w:rsidRPr="00211D94">
        <w:rPr>
          <w:rFonts w:cs="Arial"/>
          <w:szCs w:val="24"/>
        </w:rPr>
        <w:t>”</w:t>
      </w:r>
      <w:r w:rsidR="0087241E" w:rsidRPr="00211D94">
        <w:rPr>
          <w:rFonts w:cs="Arial"/>
          <w:szCs w:val="24"/>
        </w:rPr>
        <w:t xml:space="preserve"> </w:t>
      </w:r>
      <w:r w:rsidR="0017642C" w:rsidRPr="00211D94">
        <w:rPr>
          <w:rFonts w:cs="Arial"/>
          <w:szCs w:val="24"/>
        </w:rPr>
        <w:t>- wyniósł 944,6% (10 674 miejsc</w:t>
      </w:r>
      <w:r w:rsidR="0087241E" w:rsidRPr="00211D94">
        <w:rPr>
          <w:rFonts w:cs="Arial"/>
          <w:szCs w:val="24"/>
        </w:rPr>
        <w:t>a</w:t>
      </w:r>
      <w:r w:rsidR="0017642C" w:rsidRPr="00211D94">
        <w:rPr>
          <w:rFonts w:cs="Arial"/>
          <w:szCs w:val="24"/>
        </w:rPr>
        <w:t>)</w:t>
      </w:r>
      <w:r w:rsidR="0076667A" w:rsidRPr="00211D94">
        <w:rPr>
          <w:rFonts w:cs="Arial"/>
          <w:szCs w:val="24"/>
        </w:rPr>
        <w:t xml:space="preserve">. </w:t>
      </w:r>
      <w:r w:rsidR="004867E0" w:rsidRPr="00211D94">
        <w:t>Przekroczenie wartości docelowej wskaźnika dowodzi, że pierwotne założenia były niedoszacowane, a jednocześnie potwierdza, jak istotną rolę w systemie wsparcia społecznego w województwie pomorskim odgrywają asystenci rodziny, rodziny wspierające i zastępcze oraz koordynatorzy rodzinnej pieczy zastępczej.</w:t>
      </w:r>
    </w:p>
    <w:p w14:paraId="6A63EFBF" w14:textId="66ADC645" w:rsidR="0017642C" w:rsidRPr="00211D94" w:rsidRDefault="0017642C" w:rsidP="0017642C">
      <w:pPr>
        <w:tabs>
          <w:tab w:val="left" w:pos="432"/>
        </w:tabs>
        <w:spacing w:before="120" w:after="120"/>
        <w:rPr>
          <w:rFonts w:cs="Arial"/>
          <w:szCs w:val="24"/>
        </w:rPr>
      </w:pPr>
      <w:r w:rsidRPr="00211D94">
        <w:rPr>
          <w:rFonts w:cs="Arial"/>
          <w:szCs w:val="24"/>
        </w:rPr>
        <w:t xml:space="preserve">W ramach Działania 6.3. </w:t>
      </w:r>
      <w:r w:rsidR="002E5874" w:rsidRPr="00211D94">
        <w:rPr>
          <w:rFonts w:cs="Arial"/>
          <w:szCs w:val="24"/>
        </w:rPr>
        <w:t>„</w:t>
      </w:r>
      <w:r w:rsidRPr="00211D94">
        <w:rPr>
          <w:rFonts w:cs="Arial"/>
          <w:szCs w:val="24"/>
        </w:rPr>
        <w:t>Ekonomia społeczna</w:t>
      </w:r>
      <w:r w:rsidR="002E5874" w:rsidRPr="00211D94">
        <w:rPr>
          <w:rFonts w:cs="Arial"/>
          <w:szCs w:val="24"/>
        </w:rPr>
        <w:t>”</w:t>
      </w:r>
      <w:r w:rsidRPr="00211D94">
        <w:rPr>
          <w:rFonts w:cs="Arial"/>
          <w:szCs w:val="24"/>
        </w:rPr>
        <w:t xml:space="preserve"> (PI 9v) zostały osiągnięte następujące wskaźniki rezultatu specyficzne dla Programu: </w:t>
      </w:r>
    </w:p>
    <w:p w14:paraId="42640D54" w14:textId="7044597B" w:rsidR="004867E0" w:rsidRPr="00211D94" w:rsidRDefault="002E5874" w:rsidP="007B1BBE">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miejsc pracy utworzonych w przedsiębiorstwach społecznych</w:t>
      </w:r>
      <w:r w:rsidRPr="00211D94">
        <w:rPr>
          <w:rFonts w:cs="Arial"/>
          <w:szCs w:val="24"/>
        </w:rPr>
        <w:t>”</w:t>
      </w:r>
      <w:r w:rsidR="0017642C" w:rsidRPr="00211D94">
        <w:rPr>
          <w:rFonts w:cs="Arial"/>
          <w:szCs w:val="24"/>
        </w:rPr>
        <w:t xml:space="preserve"> – 708 (141,6%)</w:t>
      </w:r>
      <w:r w:rsidR="0076667A" w:rsidRPr="00211D94">
        <w:rPr>
          <w:rFonts w:cs="Arial"/>
          <w:szCs w:val="24"/>
        </w:rPr>
        <w:t xml:space="preserve">. </w:t>
      </w:r>
      <w:r w:rsidR="004867E0" w:rsidRPr="00211D94">
        <w:rPr>
          <w:rFonts w:cs="Arial"/>
          <w:szCs w:val="24"/>
        </w:rPr>
        <w:t>Osiągnięcie poziomu przekraczającego wartość docelową wskazuje na wzrost zainteresowania zatrudnieniem w tego typu przedsiębiorstwach.</w:t>
      </w:r>
    </w:p>
    <w:p w14:paraId="44678353" w14:textId="7D291959" w:rsidR="0017642C" w:rsidRPr="00211D94" w:rsidRDefault="002E5874" w:rsidP="0017642C">
      <w:pPr>
        <w:numPr>
          <w:ilvl w:val="0"/>
          <w:numId w:val="12"/>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pracujących po opuszczeniu Programu (łącznie z pracującymi na własny rachunek)</w:t>
      </w:r>
      <w:r w:rsidRPr="00211D94">
        <w:rPr>
          <w:rFonts w:cs="Arial"/>
          <w:szCs w:val="24"/>
        </w:rPr>
        <w:t>”</w:t>
      </w:r>
      <w:r w:rsidR="0017642C" w:rsidRPr="00211D94">
        <w:rPr>
          <w:rFonts w:cs="Arial"/>
          <w:szCs w:val="24"/>
        </w:rPr>
        <w:t xml:space="preserve"> – 546 osób co stanowi 31,31%.</w:t>
      </w:r>
    </w:p>
    <w:p w14:paraId="5225E93C" w14:textId="6B99E30E" w:rsidR="0017642C" w:rsidRPr="00211D94" w:rsidRDefault="0017642C" w:rsidP="0017642C">
      <w:pPr>
        <w:tabs>
          <w:tab w:val="left" w:pos="432"/>
        </w:tabs>
        <w:spacing w:before="120" w:after="120"/>
        <w:rPr>
          <w:rFonts w:cs="Arial"/>
          <w:szCs w:val="24"/>
        </w:rPr>
      </w:pPr>
      <w:r w:rsidRPr="00211D94">
        <w:rPr>
          <w:rFonts w:cs="Arial"/>
          <w:szCs w:val="24"/>
        </w:rPr>
        <w:t xml:space="preserve">Dla OP6 określono w </w:t>
      </w:r>
      <w:r w:rsidRPr="00211D94">
        <w:rPr>
          <w:rFonts w:cs="Arial"/>
          <w:b/>
          <w:szCs w:val="24"/>
        </w:rPr>
        <w:t>ramach wykonania</w:t>
      </w:r>
      <w:r w:rsidRPr="00211D94">
        <w:rPr>
          <w:rFonts w:cs="Arial"/>
          <w:szCs w:val="24"/>
        </w:rPr>
        <w:t xml:space="preserve"> dwa wskaźniki - wskaźnik produktu </w:t>
      </w:r>
      <w:r w:rsidRPr="00211D94">
        <w:rPr>
          <w:rFonts w:cs="Arial"/>
          <w:szCs w:val="24"/>
        </w:rPr>
        <w:br/>
        <w:t>i wskaźnik finansowy tj. :</w:t>
      </w:r>
    </w:p>
    <w:p w14:paraId="0664E32D" w14:textId="0DF89C1C" w:rsidR="0017642C" w:rsidRPr="00211D94" w:rsidRDefault="002E5874" w:rsidP="0017642C">
      <w:pPr>
        <w:numPr>
          <w:ilvl w:val="0"/>
          <w:numId w:val="13"/>
        </w:numPr>
        <w:tabs>
          <w:tab w:val="left" w:pos="432"/>
        </w:tabs>
        <w:spacing w:before="120" w:after="120"/>
        <w:rPr>
          <w:rFonts w:cs="Arial"/>
          <w:szCs w:val="24"/>
        </w:rPr>
      </w:pPr>
      <w:r w:rsidRPr="00211D94">
        <w:rPr>
          <w:rFonts w:cs="Arial"/>
          <w:szCs w:val="24"/>
        </w:rPr>
        <w:t>„</w:t>
      </w:r>
      <w:r w:rsidR="0017642C" w:rsidRPr="00211D94">
        <w:rPr>
          <w:rFonts w:cs="Arial"/>
          <w:szCs w:val="24"/>
        </w:rPr>
        <w:t>Liczba osób zagrożonych ubóstwem lub wykluczeniem społecznym objętych wsparciem w Programie</w:t>
      </w:r>
      <w:r w:rsidRPr="00211D94">
        <w:rPr>
          <w:rFonts w:cs="Arial"/>
          <w:szCs w:val="24"/>
        </w:rPr>
        <w:t>”</w:t>
      </w:r>
      <w:r w:rsidR="0017642C" w:rsidRPr="00211D94">
        <w:rPr>
          <w:rFonts w:cs="Arial"/>
          <w:szCs w:val="24"/>
        </w:rPr>
        <w:t xml:space="preserve"> 21 197 osób </w:t>
      </w:r>
      <w:r w:rsidR="0017642C" w:rsidRPr="00211D94">
        <w:rPr>
          <w:rFonts w:cs="Arial"/>
          <w:i/>
          <w:szCs w:val="24"/>
        </w:rPr>
        <w:t xml:space="preserve">– </w:t>
      </w:r>
      <w:r w:rsidR="0017642C" w:rsidRPr="00211D94">
        <w:rPr>
          <w:rFonts w:cs="Arial"/>
          <w:szCs w:val="24"/>
        </w:rPr>
        <w:t>co powoduje, że cel końcowy został osiągnięty na poziomie 117,7%,</w:t>
      </w:r>
    </w:p>
    <w:p w14:paraId="02713A48" w14:textId="6A1528AE" w:rsidR="0017642C" w:rsidRPr="00211D94" w:rsidRDefault="0017642C" w:rsidP="008B3DAE">
      <w:pPr>
        <w:numPr>
          <w:ilvl w:val="0"/>
          <w:numId w:val="13"/>
        </w:numPr>
        <w:tabs>
          <w:tab w:val="left" w:pos="432"/>
        </w:tabs>
        <w:spacing w:before="120" w:after="120"/>
        <w:rPr>
          <w:rFonts w:cs="Arial"/>
          <w:szCs w:val="24"/>
        </w:rPr>
      </w:pPr>
      <w:r w:rsidRPr="00211D94">
        <w:rPr>
          <w:rFonts w:cs="Arial"/>
          <w:i/>
          <w:szCs w:val="24"/>
        </w:rPr>
        <w:t xml:space="preserve">Całkowita kwota certyfikowanych wydatków kwalifikowalnych </w:t>
      </w:r>
      <w:r w:rsidRPr="00211D94">
        <w:rPr>
          <w:rFonts w:cs="Arial"/>
          <w:szCs w:val="24"/>
        </w:rPr>
        <w:t xml:space="preserve">– certyfikowano 142 281 726 EUR </w:t>
      </w:r>
      <w:r w:rsidRPr="00211D94">
        <w:rPr>
          <w:rFonts w:cs="Arial"/>
          <w:i/>
          <w:szCs w:val="24"/>
        </w:rPr>
        <w:t xml:space="preserve">– </w:t>
      </w:r>
      <w:r w:rsidRPr="00211D94">
        <w:rPr>
          <w:rFonts w:cs="Arial"/>
          <w:szCs w:val="24"/>
        </w:rPr>
        <w:t xml:space="preserve">co powoduje, że cel końcowy z 2023 r. </w:t>
      </w:r>
      <w:r w:rsidR="0087241E" w:rsidRPr="00211D94">
        <w:rPr>
          <w:rFonts w:cs="Arial"/>
          <w:szCs w:val="24"/>
        </w:rPr>
        <w:t>z</w:t>
      </w:r>
      <w:r w:rsidRPr="00211D94">
        <w:rPr>
          <w:rFonts w:cs="Arial"/>
          <w:szCs w:val="24"/>
        </w:rPr>
        <w:t xml:space="preserve">ostał osiągnięty na poziomie 100,52%. Wskaźnik finansowy obejmuje wydatki kwalifikowalne przekazane do KE. </w:t>
      </w:r>
    </w:p>
    <w:p w14:paraId="4CD586DD" w14:textId="3F87F10B" w:rsidR="0017642C" w:rsidRPr="00211D94" w:rsidRDefault="0017642C" w:rsidP="0017642C">
      <w:pPr>
        <w:tabs>
          <w:tab w:val="left" w:pos="432"/>
        </w:tabs>
        <w:spacing w:before="120" w:after="120"/>
        <w:rPr>
          <w:rFonts w:cs="Arial"/>
          <w:szCs w:val="24"/>
        </w:rPr>
      </w:pPr>
      <w:r w:rsidRPr="00211D94">
        <w:rPr>
          <w:rFonts w:cs="Arial"/>
          <w:szCs w:val="24"/>
        </w:rPr>
        <w:t xml:space="preserve">Wszystkie docelowe wartości wskaźników (zgodnie z tabelą nr 5) zostały osiągnięte na poziomie ponad 100%. W przypadku wskaźnika produktu liczba osób zagrożonych ubóstwem lub wykluczeniem przekroczono określone wartości docelowe tj. osiągnięto 117,7%. Wskaźniki odnoszące się do osób zagrożonych ubóstwem lub wykluczeniem społecznym osiągane były głównie w ramach projektów w Działaniu 6.1. </w:t>
      </w:r>
      <w:r w:rsidR="002E5874" w:rsidRPr="00211D94">
        <w:rPr>
          <w:rFonts w:cs="Arial"/>
          <w:szCs w:val="24"/>
        </w:rPr>
        <w:t>„</w:t>
      </w:r>
      <w:r w:rsidRPr="00211D94">
        <w:rPr>
          <w:rFonts w:cs="Arial"/>
          <w:szCs w:val="24"/>
        </w:rPr>
        <w:t>Aktywizacja społeczno-zawodowa</w:t>
      </w:r>
      <w:r w:rsidR="002E5874" w:rsidRPr="00211D94">
        <w:rPr>
          <w:rFonts w:cs="Arial"/>
          <w:szCs w:val="24"/>
        </w:rPr>
        <w:t>”</w:t>
      </w:r>
      <w:r w:rsidRPr="00211D94">
        <w:rPr>
          <w:rFonts w:cs="Arial"/>
          <w:szCs w:val="24"/>
        </w:rPr>
        <w:t xml:space="preserve">. Główny wpływ na ich wysoki poziom wykonania miała przede wszystkim realizacja projektów w trybie konkursowym, ponieważ ponad 62% z </w:t>
      </w:r>
      <w:r w:rsidR="0087241E" w:rsidRPr="00211D94">
        <w:rPr>
          <w:rFonts w:cs="Arial"/>
          <w:szCs w:val="24"/>
        </w:rPr>
        <w:t xml:space="preserve">tych </w:t>
      </w:r>
      <w:r w:rsidRPr="00211D94">
        <w:rPr>
          <w:rFonts w:cs="Arial"/>
          <w:szCs w:val="24"/>
        </w:rPr>
        <w:t>21 197 osób zostało objętych w ramach projektów realizowanych w Poddziałaniu 6.1.2.</w:t>
      </w:r>
    </w:p>
    <w:p w14:paraId="36A3BAA8" w14:textId="24B10850" w:rsidR="0017642C" w:rsidRPr="00211D94" w:rsidRDefault="0017642C" w:rsidP="0017642C">
      <w:pPr>
        <w:tabs>
          <w:tab w:val="left" w:pos="432"/>
        </w:tabs>
        <w:spacing w:before="120" w:after="120"/>
        <w:rPr>
          <w:rFonts w:cs="Arial"/>
          <w:szCs w:val="24"/>
        </w:rPr>
      </w:pPr>
      <w:r w:rsidRPr="00211D94">
        <w:rPr>
          <w:rFonts w:cs="Arial"/>
          <w:szCs w:val="24"/>
        </w:rPr>
        <w:t xml:space="preserve">Realizacja wskaźników w ramach OP6 jest bardzo zróżnicowana - od 3,42% </w:t>
      </w:r>
      <w:r w:rsidRPr="00211D94">
        <w:rPr>
          <w:rFonts w:cs="Arial"/>
          <w:szCs w:val="24"/>
        </w:rPr>
        <w:br/>
        <w:t xml:space="preserve">w przypadku wskaźnika dotyczącego poszukiwania pracy, zdobywania kwalifikacji </w:t>
      </w:r>
      <w:r w:rsidRPr="00211D94">
        <w:rPr>
          <w:rFonts w:cs="Arial"/>
          <w:szCs w:val="24"/>
        </w:rPr>
        <w:br/>
        <w:t xml:space="preserve">i podejmowania pracy (w ramach Działania 6.2. </w:t>
      </w:r>
      <w:r w:rsidR="002E5874" w:rsidRPr="00211D94">
        <w:rPr>
          <w:rFonts w:cs="Arial"/>
          <w:szCs w:val="24"/>
        </w:rPr>
        <w:t>„</w:t>
      </w:r>
      <w:r w:rsidRPr="00211D94">
        <w:rPr>
          <w:rFonts w:cs="Arial"/>
          <w:szCs w:val="24"/>
        </w:rPr>
        <w:t>Usługi społeczne</w:t>
      </w:r>
      <w:r w:rsidR="002E5874" w:rsidRPr="00211D94">
        <w:rPr>
          <w:rFonts w:cs="Arial"/>
          <w:szCs w:val="24"/>
        </w:rPr>
        <w:t>”</w:t>
      </w:r>
      <w:r w:rsidRPr="00211D94">
        <w:rPr>
          <w:rFonts w:cs="Arial"/>
          <w:szCs w:val="24"/>
        </w:rPr>
        <w:t>) po 944,6% dla</w:t>
      </w:r>
      <w:r w:rsidRPr="00211D94">
        <w:rPr>
          <w:rFonts w:cs="Arial"/>
          <w:szCs w:val="24"/>
        </w:rPr>
        <w:br/>
        <w:t xml:space="preserve">wskaźnika </w:t>
      </w:r>
      <w:r w:rsidR="002E5874" w:rsidRPr="00211D94">
        <w:rPr>
          <w:rFonts w:cs="Arial"/>
          <w:szCs w:val="24"/>
        </w:rPr>
        <w:t>„</w:t>
      </w:r>
      <w:r w:rsidRPr="00211D94">
        <w:rPr>
          <w:rFonts w:cs="Arial"/>
          <w:szCs w:val="24"/>
        </w:rPr>
        <w:t>Liczba wspartych w Programie miejsc świadczenia usług społecznych</w:t>
      </w:r>
      <w:r w:rsidRPr="00211D94">
        <w:rPr>
          <w:rFonts w:cs="Arial"/>
          <w:szCs w:val="24"/>
        </w:rPr>
        <w:br/>
        <w:t>istniejących po zakończeniu projektu</w:t>
      </w:r>
      <w:r w:rsidR="002E5874" w:rsidRPr="00211D94">
        <w:rPr>
          <w:rFonts w:cs="Arial"/>
          <w:szCs w:val="24"/>
        </w:rPr>
        <w:t>”</w:t>
      </w:r>
      <w:r w:rsidRPr="00211D94">
        <w:rPr>
          <w:rFonts w:cs="Arial"/>
          <w:szCs w:val="24"/>
        </w:rPr>
        <w:t xml:space="preserve"> (w ramach tego samego działania). Podobna sytuacja zaistniała w ramach Działania 6.3. </w:t>
      </w:r>
      <w:r w:rsidR="002E5874" w:rsidRPr="00211D94">
        <w:rPr>
          <w:rFonts w:cs="Arial"/>
          <w:szCs w:val="24"/>
        </w:rPr>
        <w:t>„</w:t>
      </w:r>
      <w:r w:rsidRPr="00211D94">
        <w:rPr>
          <w:rFonts w:cs="Arial"/>
          <w:szCs w:val="24"/>
        </w:rPr>
        <w:t>Ekonomia społeczna</w:t>
      </w:r>
      <w:r w:rsidR="002E5874" w:rsidRPr="00211D94">
        <w:rPr>
          <w:rFonts w:cs="Arial"/>
          <w:szCs w:val="24"/>
        </w:rPr>
        <w:t>”</w:t>
      </w:r>
      <w:r w:rsidRPr="00211D94">
        <w:rPr>
          <w:rFonts w:cs="Arial"/>
          <w:szCs w:val="24"/>
        </w:rPr>
        <w:t>, mimo, że poziom wskaźników w dwóch przypadkach przekroczył wartości zaplanowane (94,6% a zaplanowano 25%) oraz 141,6 % a w jednym prawie 31,31% (zaplanowano 32%)</w:t>
      </w:r>
      <w:r w:rsidR="00BF6EEF" w:rsidRPr="00211D94">
        <w:rPr>
          <w:rFonts w:cs="Arial"/>
          <w:szCs w:val="24"/>
        </w:rPr>
        <w:t>,</w:t>
      </w:r>
      <w:r w:rsidRPr="00211D94">
        <w:rPr>
          <w:rFonts w:cs="Arial"/>
          <w:szCs w:val="24"/>
        </w:rPr>
        <w:t xml:space="preserve"> to zdecydowanie wskaźniki dotyczące utworzenia miejsc i trwałości tych miejsc przewyższają wartości wskaźnika dotyczącego liczby osób zagrożonych ubóstwem lub wykluczeniem społecznym pracujących po opuszczeniu projektu.</w:t>
      </w:r>
    </w:p>
    <w:p w14:paraId="423C9EDD" w14:textId="03B1E6DF" w:rsidR="0017642C" w:rsidRPr="00211D94" w:rsidRDefault="0017642C" w:rsidP="0017642C">
      <w:pPr>
        <w:tabs>
          <w:tab w:val="left" w:pos="432"/>
        </w:tabs>
        <w:spacing w:before="120" w:after="120"/>
        <w:rPr>
          <w:rFonts w:cs="Arial"/>
          <w:szCs w:val="24"/>
        </w:rPr>
      </w:pPr>
      <w:r w:rsidRPr="00211D94">
        <w:rPr>
          <w:rFonts w:cs="Arial"/>
          <w:szCs w:val="24"/>
        </w:rPr>
        <w:t>Postępy w realizacji celów OP</w:t>
      </w:r>
      <w:r w:rsidR="00BF6EEF" w:rsidRPr="00211D94">
        <w:rPr>
          <w:rFonts w:cs="Arial"/>
          <w:szCs w:val="24"/>
        </w:rPr>
        <w:t>6</w:t>
      </w:r>
      <w:r w:rsidRPr="00211D94">
        <w:rPr>
          <w:rFonts w:cs="Arial"/>
          <w:szCs w:val="24"/>
        </w:rPr>
        <w:t xml:space="preserve"> zostały poddane ocenie w ramach ewaluacji</w:t>
      </w:r>
      <w:r w:rsidRPr="00211D94">
        <w:rPr>
          <w:rFonts w:cs="Arial"/>
          <w:b/>
          <w:szCs w:val="24"/>
        </w:rPr>
        <w:t xml:space="preserve"> </w:t>
      </w:r>
      <w:r w:rsidRPr="00211D94">
        <w:rPr>
          <w:rFonts w:cs="Arial"/>
          <w:szCs w:val="24"/>
        </w:rPr>
        <w:t>Programu i zgodnie z „Badaniem ewaluacyjnym dotyczącym wyliczenia wartości wskaźników rezultatu długoterminowego w ramach Europejskiego Funduszu Społecznego oraz Inicjatywy na rzecz zatrudnienia osób młodych” w PI 9i</w:t>
      </w:r>
      <w:r w:rsidR="00BF6EEF" w:rsidRPr="00211D94">
        <w:rPr>
          <w:rFonts w:cs="Arial"/>
          <w:szCs w:val="24"/>
        </w:rPr>
        <w:t xml:space="preserve"> -</w:t>
      </w:r>
      <w:r w:rsidRPr="00211D94">
        <w:rPr>
          <w:rFonts w:cs="Arial"/>
          <w:szCs w:val="24"/>
        </w:rPr>
        <w:t xml:space="preserve"> 33% uczestników pracuje, łącznie z prowadzącymi działalność na własny rachunek, sześć miesięcy po opuszczeniu </w:t>
      </w:r>
      <w:r w:rsidR="00BF6EEF" w:rsidRPr="00211D94">
        <w:rPr>
          <w:rFonts w:cs="Arial"/>
          <w:szCs w:val="24"/>
        </w:rPr>
        <w:t>P</w:t>
      </w:r>
      <w:r w:rsidRPr="00211D94">
        <w:rPr>
          <w:rFonts w:cs="Arial"/>
          <w:szCs w:val="24"/>
        </w:rPr>
        <w:t>rogramu; 10% w ramach 9iv oraz 69% w ramach 9v.</w:t>
      </w:r>
    </w:p>
    <w:p w14:paraId="2AA76A57" w14:textId="77777777" w:rsidR="0017642C" w:rsidRPr="00211D94" w:rsidRDefault="0017642C" w:rsidP="0017642C">
      <w:pPr>
        <w:tabs>
          <w:tab w:val="left" w:pos="432"/>
        </w:tabs>
        <w:spacing w:before="120" w:after="120"/>
        <w:rPr>
          <w:rFonts w:cs="Arial"/>
          <w:szCs w:val="24"/>
        </w:rPr>
      </w:pPr>
      <w:r w:rsidRPr="00211D94">
        <w:rPr>
          <w:rFonts w:cs="Arial"/>
          <w:szCs w:val="24"/>
        </w:rPr>
        <w:t>Znaczące problemy i podjęte działania zaradcze:</w:t>
      </w:r>
    </w:p>
    <w:p w14:paraId="6091E81C" w14:textId="0EF9730D" w:rsidR="007D0568" w:rsidRPr="00211D94" w:rsidRDefault="0017642C" w:rsidP="00F55865">
      <w:pPr>
        <w:tabs>
          <w:tab w:val="left" w:pos="432"/>
        </w:tabs>
        <w:spacing w:before="120" w:after="120"/>
        <w:rPr>
          <w:rFonts w:cs="Arial"/>
          <w:szCs w:val="24"/>
        </w:rPr>
      </w:pPr>
      <w:r w:rsidRPr="00211D94">
        <w:rPr>
          <w:rFonts w:cs="Arial"/>
          <w:szCs w:val="24"/>
        </w:rPr>
        <w:t xml:space="preserve">IZ RPO zidentyfikowała występujące problemy </w:t>
      </w:r>
      <w:r w:rsidR="00BF6EEF" w:rsidRPr="00211D94">
        <w:rPr>
          <w:rFonts w:cs="Arial"/>
          <w:szCs w:val="24"/>
        </w:rPr>
        <w:t>b</w:t>
      </w:r>
      <w:r w:rsidRPr="00211D94">
        <w:rPr>
          <w:rFonts w:cs="Arial"/>
          <w:szCs w:val="24"/>
        </w:rPr>
        <w:t xml:space="preserve">eneficjentów z rekrutacją potencjalnych uczestników projektów oraz realizację projektów niezgodnie </w:t>
      </w:r>
      <w:r w:rsidRPr="00211D94">
        <w:rPr>
          <w:rFonts w:cs="Arial"/>
          <w:szCs w:val="24"/>
        </w:rPr>
        <w:br/>
        <w:t>z harmonogramem projektu. Główne problemy wynikały z sytuacji epidemiologicznej w kraju. IZ RPO</w:t>
      </w:r>
      <w:r w:rsidR="00BF6EEF" w:rsidRPr="00211D94">
        <w:rPr>
          <w:rFonts w:cs="Arial"/>
          <w:szCs w:val="24"/>
        </w:rPr>
        <w:t xml:space="preserve"> </w:t>
      </w:r>
      <w:r w:rsidRPr="00211D94">
        <w:rPr>
          <w:rFonts w:cs="Arial"/>
          <w:szCs w:val="24"/>
        </w:rPr>
        <w:t>umożliwiała wydłużanie okresu realizacji projektów. Organizowano spotkania, aby omówić najczęściej występujące problemy w trakcie realizacji projektów oraz poprawne uzupełnianie wniosków o płatność. Zintensyfikowano również konsultacje telefoniczne i spotkania indywidualne opiekunów z Beneficjentami</w:t>
      </w:r>
      <w:r w:rsidR="007D0568" w:rsidRPr="00211D94">
        <w:rPr>
          <w:rFonts w:cs="Arial"/>
          <w:szCs w:val="24"/>
        </w:rPr>
        <w:t xml:space="preserve">. </w:t>
      </w:r>
    </w:p>
    <w:p w14:paraId="65C156BD" w14:textId="766470DB" w:rsidR="007D0568" w:rsidRPr="00211D94" w:rsidRDefault="007D0568" w:rsidP="00F55865">
      <w:pPr>
        <w:pStyle w:val="Nagwek2"/>
        <w:spacing w:before="120" w:after="120"/>
        <w:rPr>
          <w:rFonts w:cs="Arial"/>
          <w:color w:val="FFFFFF" w:themeColor="background1"/>
          <w:sz w:val="24"/>
          <w:szCs w:val="24"/>
          <w:lang w:eastAsia="pl-PL"/>
        </w:rPr>
      </w:pPr>
      <w:bookmarkStart w:id="145" w:name="_Toc484443227"/>
      <w:bookmarkStart w:id="146" w:name="_Toc9418244"/>
      <w:bookmarkStart w:id="147" w:name="_Toc214025287"/>
      <w:bookmarkStart w:id="148" w:name="_Toc482339639"/>
      <w:bookmarkStart w:id="149" w:name="_Toc482340017"/>
      <w:bookmarkStart w:id="150" w:name="_Toc482784955"/>
      <w:bookmarkStart w:id="151" w:name="_Toc484443232"/>
      <w:bookmarkEnd w:id="139"/>
      <w:bookmarkEnd w:id="140"/>
      <w:bookmarkEnd w:id="141"/>
      <w:bookmarkEnd w:id="142"/>
      <w:bookmarkEnd w:id="143"/>
      <w:r w:rsidRPr="00211D94">
        <w:rPr>
          <w:rFonts w:cs="Arial"/>
          <w:color w:val="FFFFFF" w:themeColor="background1"/>
          <w:sz w:val="24"/>
          <w:szCs w:val="24"/>
          <w:lang w:eastAsia="pl-PL"/>
        </w:rPr>
        <w:t>OP7. ZDROWIE</w:t>
      </w:r>
      <w:bookmarkEnd w:id="145"/>
      <w:bookmarkEnd w:id="146"/>
      <w:r w:rsidR="0087241E" w:rsidRPr="00211D94">
        <w:rPr>
          <w:rFonts w:cs="Arial"/>
          <w:color w:val="FFFFFF" w:themeColor="background1"/>
          <w:sz w:val="24"/>
          <w:szCs w:val="24"/>
          <w:lang w:eastAsia="pl-PL"/>
        </w:rPr>
        <w:t xml:space="preserve"> I OPIEKA</w:t>
      </w:r>
      <w:bookmarkEnd w:id="147"/>
    </w:p>
    <w:tbl>
      <w:tblPr>
        <w:tblW w:w="0" w:type="auto"/>
        <w:tblLook w:val="04A0" w:firstRow="1" w:lastRow="0" w:firstColumn="1" w:lastColumn="0" w:noHBand="0" w:noVBand="1"/>
      </w:tblPr>
      <w:tblGrid>
        <w:gridCol w:w="1536"/>
        <w:gridCol w:w="7536"/>
      </w:tblGrid>
      <w:tr w:rsidR="007D0568" w:rsidRPr="00211D94" w14:paraId="04FA7CD1" w14:textId="77777777" w:rsidTr="00756D1A">
        <w:tc>
          <w:tcPr>
            <w:tcW w:w="1536" w:type="dxa"/>
            <w:shd w:val="clear" w:color="auto" w:fill="auto"/>
          </w:tcPr>
          <w:p w14:paraId="45296EFF" w14:textId="70AAE9E5"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1FECB641" wp14:editId="59309A5B">
                  <wp:extent cx="831215" cy="807720"/>
                  <wp:effectExtent l="0" t="0" r="6985" b="0"/>
                  <wp:docPr id="22" name="Obraz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215" cy="807720"/>
                          </a:xfrm>
                          <a:prstGeom prst="rect">
                            <a:avLst/>
                          </a:prstGeom>
                          <a:noFill/>
                          <a:ln>
                            <a:noFill/>
                          </a:ln>
                        </pic:spPr>
                      </pic:pic>
                    </a:graphicData>
                  </a:graphic>
                </wp:inline>
              </w:drawing>
            </w:r>
          </w:p>
        </w:tc>
        <w:tc>
          <w:tcPr>
            <w:tcW w:w="7536" w:type="dxa"/>
            <w:shd w:val="clear" w:color="auto" w:fill="auto"/>
          </w:tcPr>
          <w:p w14:paraId="6193FA69" w14:textId="75DA6537" w:rsidR="007D0568" w:rsidRPr="00211D94" w:rsidRDefault="007D0568" w:rsidP="00F55865">
            <w:pPr>
              <w:spacing w:before="120" w:after="120"/>
              <w:rPr>
                <w:rFonts w:cs="Arial"/>
                <w:b/>
                <w:szCs w:val="24"/>
              </w:rPr>
            </w:pPr>
            <w:r w:rsidRPr="00211D94">
              <w:rPr>
                <w:rFonts w:cs="Arial"/>
                <w:szCs w:val="24"/>
              </w:rPr>
              <w:t>OP7 odpowiada</w:t>
            </w:r>
            <w:r w:rsidR="000073C9" w:rsidRPr="00211D94">
              <w:rPr>
                <w:rFonts w:cs="Arial"/>
                <w:szCs w:val="24"/>
              </w:rPr>
              <w:t>ła</w:t>
            </w:r>
            <w:r w:rsidRPr="00211D94">
              <w:rPr>
                <w:rFonts w:cs="Arial"/>
                <w:szCs w:val="24"/>
              </w:rPr>
              <w:t xml:space="preserve"> na wyzwania dotyczące poprawy stanu zdrowia, dla lepszego wykorzystania potencjału wynikającego z wydłużania się życia poprzez inwestycje w zasoby ochrony zdrowia.</w:t>
            </w:r>
          </w:p>
        </w:tc>
      </w:tr>
    </w:tbl>
    <w:p w14:paraId="54513FC2"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18931C45" w14:textId="3B229E8C" w:rsidR="007D0568" w:rsidRPr="00211D94" w:rsidRDefault="007D0568" w:rsidP="00F55865">
      <w:pPr>
        <w:tabs>
          <w:tab w:val="left" w:pos="432"/>
        </w:tabs>
        <w:spacing w:before="120" w:after="120"/>
        <w:rPr>
          <w:rFonts w:cs="Arial"/>
          <w:szCs w:val="24"/>
        </w:rPr>
      </w:pPr>
      <w:r w:rsidRPr="00211D94">
        <w:rPr>
          <w:rFonts w:cs="Arial"/>
          <w:szCs w:val="24"/>
        </w:rPr>
        <w:t>W ramach OP7</w:t>
      </w:r>
      <w:r w:rsidR="0087241E" w:rsidRPr="00211D94">
        <w:rPr>
          <w:rFonts w:cs="Arial"/>
          <w:szCs w:val="24"/>
        </w:rPr>
        <w:t>.</w:t>
      </w:r>
      <w:r w:rsidRPr="00211D94">
        <w:rPr>
          <w:rFonts w:cs="Arial"/>
          <w:szCs w:val="24"/>
        </w:rPr>
        <w:t xml:space="preserve"> </w:t>
      </w:r>
      <w:r w:rsidR="002E5874" w:rsidRPr="00211D94">
        <w:rPr>
          <w:rFonts w:cs="Arial"/>
          <w:szCs w:val="24"/>
        </w:rPr>
        <w:t>„</w:t>
      </w:r>
      <w:r w:rsidRPr="00211D94">
        <w:rPr>
          <w:rFonts w:cs="Arial"/>
          <w:szCs w:val="24"/>
        </w:rPr>
        <w:t xml:space="preserve">Zdrowie </w:t>
      </w:r>
      <w:r w:rsidR="0087241E" w:rsidRPr="00211D94">
        <w:rPr>
          <w:rFonts w:cs="Arial"/>
          <w:szCs w:val="24"/>
        </w:rPr>
        <w:t>i opieka</w:t>
      </w:r>
      <w:r w:rsidR="002E5874" w:rsidRPr="00211D94">
        <w:rPr>
          <w:rFonts w:cs="Arial"/>
          <w:szCs w:val="24"/>
        </w:rPr>
        <w:t>”</w:t>
      </w:r>
      <w:r w:rsidR="0087241E" w:rsidRPr="00211D94">
        <w:rPr>
          <w:rFonts w:cs="Arial"/>
          <w:szCs w:val="24"/>
        </w:rPr>
        <w:t xml:space="preserve"> </w:t>
      </w:r>
      <w:r w:rsidRPr="00211D94">
        <w:rPr>
          <w:rFonts w:cs="Arial"/>
          <w:szCs w:val="24"/>
        </w:rPr>
        <w:t xml:space="preserve">zawarto </w:t>
      </w:r>
      <w:r w:rsidR="007C346A" w:rsidRPr="00211D94">
        <w:rPr>
          <w:rFonts w:cs="Arial"/>
          <w:b/>
          <w:szCs w:val="24"/>
        </w:rPr>
        <w:t>45</w:t>
      </w:r>
      <w:r w:rsidRPr="00211D94">
        <w:rPr>
          <w:rFonts w:cs="Arial"/>
          <w:b/>
          <w:szCs w:val="24"/>
        </w:rPr>
        <w:t xml:space="preserve"> </w:t>
      </w:r>
      <w:r w:rsidRPr="00211D94">
        <w:rPr>
          <w:rFonts w:cs="Arial"/>
          <w:szCs w:val="24"/>
        </w:rPr>
        <w:t xml:space="preserve">umów na kwotę </w:t>
      </w:r>
      <w:r w:rsidR="007C346A" w:rsidRPr="00211D94">
        <w:rPr>
          <w:rFonts w:cs="Arial"/>
          <w:b/>
          <w:szCs w:val="24"/>
        </w:rPr>
        <w:t xml:space="preserve">253 665 549 </w:t>
      </w:r>
      <w:r w:rsidRPr="00211D94">
        <w:rPr>
          <w:rFonts w:cs="Arial"/>
          <w:b/>
          <w:szCs w:val="24"/>
        </w:rPr>
        <w:t>EUR</w:t>
      </w:r>
      <w:r w:rsidRPr="00211D94">
        <w:rPr>
          <w:rFonts w:cs="Arial"/>
          <w:szCs w:val="24"/>
        </w:rPr>
        <w:t xml:space="preserve">, w tym dofinansowanie UE </w:t>
      </w:r>
      <w:r w:rsidR="007C346A" w:rsidRPr="00211D94">
        <w:rPr>
          <w:rFonts w:cs="Arial"/>
          <w:b/>
          <w:szCs w:val="24"/>
        </w:rPr>
        <w:t xml:space="preserve">174 137 378 </w:t>
      </w:r>
      <w:r w:rsidRPr="00211D94">
        <w:rPr>
          <w:rFonts w:cs="Arial"/>
          <w:b/>
          <w:szCs w:val="24"/>
        </w:rPr>
        <w:t>EUR</w:t>
      </w:r>
      <w:r w:rsidRPr="00211D94">
        <w:rPr>
          <w:rFonts w:cs="Arial"/>
          <w:szCs w:val="24"/>
        </w:rPr>
        <w:t xml:space="preserve">. Tym samym kontraktacja w tej Osi została osiągnięta na poziomie </w:t>
      </w:r>
      <w:r w:rsidR="007C346A" w:rsidRPr="00211D94">
        <w:rPr>
          <w:rFonts w:cs="Arial"/>
          <w:b/>
          <w:szCs w:val="24"/>
        </w:rPr>
        <w:t>108,0</w:t>
      </w:r>
      <w:r w:rsidRPr="00211D94">
        <w:rPr>
          <w:rFonts w:cs="Arial"/>
          <w:b/>
          <w:szCs w:val="24"/>
        </w:rPr>
        <w:t>%</w:t>
      </w:r>
      <w:r w:rsidRPr="00211D94">
        <w:rPr>
          <w:rFonts w:cs="Arial"/>
          <w:szCs w:val="24"/>
        </w:rPr>
        <w:t xml:space="preserve"> alokacji przeznaczonej na realizację OP7.</w:t>
      </w:r>
    </w:p>
    <w:p w14:paraId="5EB03B56" w14:textId="4C662819"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9E6430">
        <w:rPr>
          <w:rFonts w:cs="Arial"/>
          <w:szCs w:val="24"/>
        </w:rPr>
        <w:t xml:space="preserve"> </w:t>
      </w:r>
      <w:r w:rsidRPr="00211D94">
        <w:rPr>
          <w:rFonts w:cs="Arial"/>
          <w:szCs w:val="24"/>
        </w:rPr>
        <w:t xml:space="preserve">wydatki na kwotę </w:t>
      </w:r>
      <w:r w:rsidR="007C346A" w:rsidRPr="00211D94">
        <w:rPr>
          <w:rFonts w:cs="Arial"/>
          <w:b/>
          <w:szCs w:val="24"/>
        </w:rPr>
        <w:t xml:space="preserve">211 066 332 </w:t>
      </w:r>
      <w:r w:rsidRPr="00211D94">
        <w:rPr>
          <w:rFonts w:cs="Arial"/>
          <w:b/>
          <w:szCs w:val="24"/>
        </w:rPr>
        <w:t>EUR</w:t>
      </w:r>
      <w:r w:rsidRPr="00211D94">
        <w:rPr>
          <w:rFonts w:cs="Arial"/>
          <w:szCs w:val="24"/>
        </w:rPr>
        <w:t xml:space="preserve">, w tym </w:t>
      </w:r>
      <w:r w:rsidR="007C346A" w:rsidRPr="00211D94">
        <w:rPr>
          <w:rFonts w:cs="Arial"/>
          <w:b/>
          <w:szCs w:val="24"/>
        </w:rPr>
        <w:t xml:space="preserve">174 137 378 </w:t>
      </w:r>
      <w:r w:rsidRPr="00211D94">
        <w:rPr>
          <w:rFonts w:cs="Arial"/>
          <w:b/>
          <w:szCs w:val="24"/>
        </w:rPr>
        <w:t>EUR</w:t>
      </w:r>
      <w:r w:rsidRPr="00211D94">
        <w:rPr>
          <w:rFonts w:cs="Arial"/>
          <w:szCs w:val="24"/>
        </w:rPr>
        <w:t xml:space="preserve"> dofinansowania UE, co stanowi </w:t>
      </w:r>
      <w:r w:rsidR="007C346A" w:rsidRPr="00211D94">
        <w:rPr>
          <w:rFonts w:cs="Arial"/>
          <w:b/>
          <w:szCs w:val="24"/>
        </w:rPr>
        <w:t>108,0</w:t>
      </w:r>
      <w:r w:rsidRPr="00211D94">
        <w:rPr>
          <w:rFonts w:cs="Arial"/>
          <w:b/>
          <w:szCs w:val="24"/>
        </w:rPr>
        <w:t xml:space="preserve">% </w:t>
      </w:r>
      <w:r w:rsidRPr="00211D94">
        <w:rPr>
          <w:rFonts w:cs="Arial"/>
          <w:szCs w:val="24"/>
        </w:rPr>
        <w:t xml:space="preserve">przeznaczonej na OP7 alokacji. </w:t>
      </w:r>
    </w:p>
    <w:p w14:paraId="40C37803" w14:textId="498AB0E6" w:rsidR="007D0568" w:rsidRPr="00211D94" w:rsidRDefault="007D0568" w:rsidP="00F55865">
      <w:pPr>
        <w:spacing w:before="120" w:after="120"/>
        <w:rPr>
          <w:rFonts w:cs="Arial"/>
          <w:szCs w:val="24"/>
        </w:rPr>
      </w:pPr>
      <w:r w:rsidRPr="00211D94">
        <w:rPr>
          <w:rFonts w:cs="Arial"/>
          <w:szCs w:val="24"/>
        </w:rPr>
        <w:t xml:space="preserve">Dla OP7 określono w odniesieniu do ram wykonania </w:t>
      </w:r>
      <w:r w:rsidR="00783935" w:rsidRPr="00211D94">
        <w:rPr>
          <w:rFonts w:cs="Arial"/>
          <w:szCs w:val="24"/>
        </w:rPr>
        <w:t>trzy</w:t>
      </w:r>
      <w:r w:rsidRPr="00211D94">
        <w:rPr>
          <w:rFonts w:cs="Arial"/>
          <w:szCs w:val="24"/>
        </w:rPr>
        <w:t xml:space="preserve"> wskaźniki – wskaźnik produktu, KEW i wskaźnik finansowy tj.:</w:t>
      </w:r>
    </w:p>
    <w:p w14:paraId="0C82C0F7" w14:textId="0F20AC28" w:rsidR="00976544" w:rsidRPr="00211D94" w:rsidRDefault="002E5874"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wspartych podmiotów leczniczych</w:t>
      </w:r>
      <w:r w:rsidRPr="00211D94">
        <w:rPr>
          <w:rFonts w:cs="Arial"/>
          <w:szCs w:val="24"/>
        </w:rPr>
        <w:t>”</w:t>
      </w:r>
      <w:r w:rsidR="007D0568" w:rsidRPr="00211D94">
        <w:rPr>
          <w:rFonts w:cs="Arial"/>
          <w:szCs w:val="24"/>
        </w:rPr>
        <w:t xml:space="preserve">, </w:t>
      </w:r>
      <w:r w:rsidR="00976544" w:rsidRPr="00211D94">
        <w:rPr>
          <w:rFonts w:cs="Arial"/>
          <w:szCs w:val="24"/>
        </w:rPr>
        <w:t>dla którego osiągnięto wartość 43 szt., co stanowi 107,5% celu końcowego (2023 r.),</w:t>
      </w:r>
    </w:p>
    <w:p w14:paraId="1B389ACC" w14:textId="09BB0608" w:rsidR="007D0568" w:rsidRPr="00211D94" w:rsidRDefault="002E5874"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podmiotów leczniczych, z którymi zostały podpisane umowy o dofinansowanie</w:t>
      </w:r>
      <w:r w:rsidRPr="00211D94">
        <w:rPr>
          <w:rFonts w:cs="Arial"/>
          <w:szCs w:val="24"/>
        </w:rPr>
        <w:t>”</w:t>
      </w:r>
      <w:r w:rsidR="007D0568" w:rsidRPr="00211D94">
        <w:rPr>
          <w:rFonts w:cs="Arial"/>
          <w:szCs w:val="24"/>
        </w:rPr>
        <w:t>, dla którego osiągnięto wartość 13 szt. co stanowi 130,0% celu pośredniego na rok 2018,</w:t>
      </w:r>
    </w:p>
    <w:p w14:paraId="659741B3" w14:textId="75291A36"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976544" w:rsidRPr="00211D94">
        <w:rPr>
          <w:rFonts w:cs="Arial"/>
          <w:szCs w:val="24"/>
        </w:rPr>
        <w:t xml:space="preserve">204 055 908 </w:t>
      </w:r>
      <w:r w:rsidRPr="00211D94">
        <w:rPr>
          <w:rFonts w:cs="Arial"/>
          <w:szCs w:val="24"/>
        </w:rPr>
        <w:t xml:space="preserve">EUR – co powoduje, że </w:t>
      </w:r>
      <w:r w:rsidR="00976544" w:rsidRPr="00211D94">
        <w:rPr>
          <w:rFonts w:cs="Arial"/>
          <w:szCs w:val="24"/>
        </w:rPr>
        <w:t xml:space="preserve">cel końcowy (2023 r.) </w:t>
      </w:r>
      <w:r w:rsidRPr="00211D94">
        <w:rPr>
          <w:rFonts w:cs="Arial"/>
          <w:szCs w:val="24"/>
        </w:rPr>
        <w:t xml:space="preserve">został osiągnięty na poziomie </w:t>
      </w:r>
      <w:r w:rsidR="00976544" w:rsidRPr="00211D94">
        <w:rPr>
          <w:rFonts w:cs="Arial"/>
          <w:szCs w:val="24"/>
        </w:rPr>
        <w:t>107,5</w:t>
      </w:r>
      <w:r w:rsidRPr="00211D94">
        <w:rPr>
          <w:rFonts w:cs="Arial"/>
          <w:szCs w:val="24"/>
        </w:rPr>
        <w:t>%</w:t>
      </w:r>
      <w:r w:rsidR="00976544" w:rsidRPr="00211D94">
        <w:rPr>
          <w:rFonts w:cs="Arial"/>
          <w:szCs w:val="24"/>
        </w:rPr>
        <w:t xml:space="preserve">. </w:t>
      </w:r>
      <w:r w:rsidR="00A51349" w:rsidRPr="00211D94">
        <w:rPr>
          <w:rFonts w:cs="Arial"/>
          <w:szCs w:val="24"/>
        </w:rPr>
        <w:t>Wskaźnik finansowy obejmuje wydatki kwalifikowalne przekazane do KE.</w:t>
      </w:r>
    </w:p>
    <w:p w14:paraId="0506BF18" w14:textId="0640D9BE" w:rsidR="00487FA6" w:rsidRPr="00211D94" w:rsidRDefault="00487FA6" w:rsidP="00F55865">
      <w:pPr>
        <w:autoSpaceDE w:val="0"/>
        <w:autoSpaceDN w:val="0"/>
        <w:adjustRightInd w:val="0"/>
        <w:spacing w:before="120" w:after="120"/>
        <w:rPr>
          <w:rFonts w:cs="Arial"/>
          <w:szCs w:val="24"/>
          <w:lang w:eastAsia="pl-PL"/>
        </w:rPr>
      </w:pPr>
      <w:r w:rsidRPr="00211D94">
        <w:rPr>
          <w:rFonts w:cs="Arial"/>
          <w:szCs w:val="24"/>
          <w:lang w:eastAsia="pl-PL"/>
        </w:rPr>
        <w:t>W ramach Działania 7.1</w:t>
      </w:r>
      <w:r w:rsidR="008E54B7" w:rsidRPr="00211D94">
        <w:rPr>
          <w:rFonts w:cs="Arial"/>
          <w:szCs w:val="24"/>
          <w:lang w:eastAsia="pl-PL"/>
        </w:rPr>
        <w:t>.</w:t>
      </w:r>
      <w:r w:rsidRPr="00211D94">
        <w:rPr>
          <w:rFonts w:cs="Arial"/>
          <w:szCs w:val="24"/>
          <w:lang w:eastAsia="pl-PL"/>
        </w:rPr>
        <w:t xml:space="preserve"> </w:t>
      </w:r>
      <w:r w:rsidR="002E5874" w:rsidRPr="00211D94">
        <w:rPr>
          <w:rFonts w:cs="Arial"/>
          <w:szCs w:val="24"/>
          <w:lang w:eastAsia="pl-PL"/>
        </w:rPr>
        <w:t>„</w:t>
      </w:r>
      <w:r w:rsidRPr="00211D94">
        <w:rPr>
          <w:rFonts w:cs="Arial"/>
          <w:szCs w:val="24"/>
          <w:lang w:eastAsia="pl-PL"/>
        </w:rPr>
        <w:t>Zasoby ochrony zdrowia</w:t>
      </w:r>
      <w:r w:rsidR="002E5874" w:rsidRPr="00211D94">
        <w:rPr>
          <w:rFonts w:cs="Arial"/>
          <w:szCs w:val="24"/>
          <w:lang w:eastAsia="pl-PL"/>
        </w:rPr>
        <w:t>”</w:t>
      </w:r>
      <w:r w:rsidRPr="00211D94">
        <w:rPr>
          <w:rFonts w:cs="Arial"/>
          <w:szCs w:val="24"/>
          <w:lang w:eastAsia="pl-PL"/>
        </w:rPr>
        <w:t xml:space="preserve"> (PI 9a) dofinansowano 20 projektów. Dwa przedsięwzięcia realizowane były w ramach Poddziałania 7.1.1 wdrażanego w oparciu o mechanizm </w:t>
      </w:r>
      <w:r w:rsidR="0087241E" w:rsidRPr="00211D94">
        <w:rPr>
          <w:rFonts w:cs="Arial"/>
          <w:szCs w:val="24"/>
          <w:lang w:eastAsia="pl-PL"/>
        </w:rPr>
        <w:t>ZIT</w:t>
      </w:r>
      <w:r w:rsidRPr="00211D94">
        <w:rPr>
          <w:rFonts w:cs="Arial"/>
          <w:szCs w:val="24"/>
          <w:lang w:eastAsia="pl-PL"/>
        </w:rPr>
        <w:t xml:space="preserve">, natomiast 18 przedsięwzięć było wdrażanych w ramach Poddziałania 7.1.2 w odniesieniu do całego obszaru województwa, ale z uwzględnieniem formuły </w:t>
      </w:r>
      <w:r w:rsidR="0087241E" w:rsidRPr="00211D94">
        <w:rPr>
          <w:rFonts w:cs="Arial"/>
          <w:szCs w:val="24"/>
          <w:lang w:eastAsia="pl-PL"/>
        </w:rPr>
        <w:t>ZPT.</w:t>
      </w:r>
    </w:p>
    <w:p w14:paraId="4AEFD351" w14:textId="3B983A7A" w:rsidR="00487FA6" w:rsidRPr="00211D94" w:rsidRDefault="009D4C0F" w:rsidP="00F55865">
      <w:pPr>
        <w:autoSpaceDE w:val="0"/>
        <w:autoSpaceDN w:val="0"/>
        <w:adjustRightInd w:val="0"/>
        <w:spacing w:before="120" w:after="120"/>
        <w:rPr>
          <w:rFonts w:cs="Arial"/>
          <w:szCs w:val="24"/>
          <w:lang w:eastAsia="pl-PL"/>
        </w:rPr>
      </w:pPr>
      <w:r w:rsidRPr="00211D94">
        <w:rPr>
          <w:rFonts w:cs="Arial"/>
          <w:szCs w:val="24"/>
          <w:lang w:eastAsia="pl-PL"/>
        </w:rPr>
        <w:t>D</w:t>
      </w:r>
      <w:r w:rsidR="00736AB9" w:rsidRPr="00211D94">
        <w:rPr>
          <w:rFonts w:cs="Arial"/>
          <w:szCs w:val="24"/>
          <w:lang w:eastAsia="pl-PL"/>
        </w:rPr>
        <w:t xml:space="preserve">ominujący charakter projektów realizowanych w ramach </w:t>
      </w:r>
      <w:r w:rsidR="008B7FA2" w:rsidRPr="00211D94">
        <w:rPr>
          <w:rFonts w:cs="Arial"/>
          <w:szCs w:val="24"/>
          <w:lang w:eastAsia="pl-PL"/>
        </w:rPr>
        <w:t xml:space="preserve">Działania 7.1 odnosi </w:t>
      </w:r>
      <w:r w:rsidR="00736AB9" w:rsidRPr="00211D94">
        <w:rPr>
          <w:rFonts w:cs="Arial"/>
          <w:szCs w:val="24"/>
          <w:lang w:eastAsia="pl-PL"/>
        </w:rPr>
        <w:t>się do zwiększenia dostępności usług zdrowotnych poprzez wzmocnienie</w:t>
      </w:r>
      <w:r w:rsidR="008B7FA2" w:rsidRPr="00211D94">
        <w:rPr>
          <w:rFonts w:cs="Arial"/>
          <w:szCs w:val="24"/>
          <w:lang w:eastAsia="pl-PL"/>
        </w:rPr>
        <w:t xml:space="preserve"> </w:t>
      </w:r>
      <w:r w:rsidR="00736AB9" w:rsidRPr="00211D94">
        <w:rPr>
          <w:rFonts w:cs="Arial"/>
          <w:szCs w:val="24"/>
          <w:lang w:eastAsia="pl-PL"/>
        </w:rPr>
        <w:t xml:space="preserve">infrastrukturalnych zasobów regionalnego systemu ochrony zdrowia, ze szczególnym uwzględnieniem regionalnej bazy szpitalnej. </w:t>
      </w:r>
      <w:r w:rsidR="008B7FA2" w:rsidRPr="00211D94">
        <w:rPr>
          <w:rFonts w:cs="Arial"/>
          <w:szCs w:val="24"/>
          <w:lang w:eastAsia="pl-PL"/>
        </w:rPr>
        <w:t xml:space="preserve">Beneficjenci podejmowali </w:t>
      </w:r>
      <w:r w:rsidR="00736AB9" w:rsidRPr="00211D94">
        <w:rPr>
          <w:rFonts w:cs="Arial"/>
          <w:szCs w:val="24"/>
          <w:lang w:eastAsia="pl-PL"/>
        </w:rPr>
        <w:t>działa</w:t>
      </w:r>
      <w:r w:rsidR="008B7FA2" w:rsidRPr="00211D94">
        <w:rPr>
          <w:rFonts w:cs="Arial"/>
          <w:szCs w:val="24"/>
          <w:lang w:eastAsia="pl-PL"/>
        </w:rPr>
        <w:t>nia</w:t>
      </w:r>
      <w:r w:rsidR="00736AB9" w:rsidRPr="00211D94">
        <w:rPr>
          <w:rFonts w:cs="Arial"/>
          <w:szCs w:val="24"/>
          <w:lang w:eastAsia="pl-PL"/>
        </w:rPr>
        <w:t xml:space="preserve"> w zakresie modernizacji i zakupu specjalistycznej aparatury medycznej, sprzętu medycznego oraz wyposażenia obiektów ochrony zdrowia</w:t>
      </w:r>
      <w:r w:rsidR="008B7FA2" w:rsidRPr="00211D94">
        <w:rPr>
          <w:rFonts w:cs="Arial"/>
          <w:szCs w:val="24"/>
          <w:lang w:eastAsia="pl-PL"/>
        </w:rPr>
        <w:t>. W ramach dofinansowanych projektów wsparto 43 podmioty lecznicze (107,5% wartości docelowej) oraz zakupiono 18 szt. wysokospecjalistycznego sprzętu medycznego (257,1% wartości docelowej)</w:t>
      </w:r>
      <w:r w:rsidR="002A69E7" w:rsidRPr="00211D94">
        <w:rPr>
          <w:rFonts w:cs="Arial"/>
          <w:szCs w:val="24"/>
          <w:lang w:eastAsia="pl-PL"/>
        </w:rPr>
        <w:t>.</w:t>
      </w:r>
    </w:p>
    <w:p w14:paraId="38343F38" w14:textId="4D1CB616" w:rsidR="004F3CF7" w:rsidRPr="00211D94" w:rsidRDefault="004F3CF7" w:rsidP="00F55865">
      <w:pPr>
        <w:autoSpaceDE w:val="0"/>
        <w:autoSpaceDN w:val="0"/>
        <w:adjustRightInd w:val="0"/>
        <w:spacing w:before="120" w:after="120"/>
        <w:rPr>
          <w:rFonts w:cs="Arial"/>
          <w:szCs w:val="24"/>
          <w:lang w:eastAsia="pl-PL"/>
        </w:rPr>
      </w:pPr>
      <w:r w:rsidRPr="00211D94">
        <w:rPr>
          <w:rFonts w:cs="Arial"/>
          <w:szCs w:val="24"/>
          <w:lang w:eastAsia="pl-PL"/>
        </w:rPr>
        <w:t xml:space="preserve">Odpowiedzią na kryzys pandemiczny było wsparcie w projektach OP7, Działaniu 13.2 i uzupełniająco w projektach wybranych w trybie nadzwyczajnym w Poddziałaniach: 5.4.2 i 6.2.2. </w:t>
      </w:r>
      <w:r w:rsidRPr="00211D94">
        <w:rPr>
          <w:rFonts w:cs="Arial"/>
        </w:rPr>
        <w:t xml:space="preserve">Interwencja współfinansowana w ramach EFRR koncentrowała się na systemie ochrony zdrowia – wzmacniając jego potencjał i ograniczając negatywny wpływ kryzysu pandemicznego na funkcjonowanie placówek ochrony zdrowia. </w:t>
      </w:r>
    </w:p>
    <w:p w14:paraId="33521D40" w14:textId="4E69FA0B" w:rsidR="00CD2B14" w:rsidRPr="00211D94" w:rsidRDefault="00CD2B14" w:rsidP="00F55865">
      <w:pPr>
        <w:autoSpaceDE w:val="0"/>
        <w:autoSpaceDN w:val="0"/>
        <w:adjustRightInd w:val="0"/>
        <w:spacing w:before="120" w:after="120"/>
        <w:rPr>
          <w:rFonts w:cs="Arial"/>
          <w:szCs w:val="24"/>
          <w:lang w:eastAsia="pl-PL"/>
        </w:rPr>
      </w:pPr>
      <w:r w:rsidRPr="00211D94">
        <w:rPr>
          <w:rFonts w:cs="Arial"/>
          <w:szCs w:val="24"/>
          <w:lang w:eastAsia="pl-PL"/>
        </w:rPr>
        <w:t>Analiza działań podejmowanych w projektach Działania 7.1 w związku z pandemią COVID-19</w:t>
      </w:r>
      <w:r w:rsidR="004F3CF7" w:rsidRPr="00211D94">
        <w:rPr>
          <w:rFonts w:cs="Arial"/>
          <w:szCs w:val="24"/>
          <w:lang w:eastAsia="pl-PL"/>
        </w:rPr>
        <w:t xml:space="preserve"> </w:t>
      </w:r>
      <w:r w:rsidRPr="00211D94">
        <w:rPr>
          <w:rFonts w:cs="Arial"/>
          <w:szCs w:val="24"/>
          <w:lang w:eastAsia="pl-PL"/>
        </w:rPr>
        <w:t xml:space="preserve">wskazuje, że przede wszystkim realizowane były </w:t>
      </w:r>
      <w:r w:rsidR="00DA4AD3" w:rsidRPr="00211D94">
        <w:rPr>
          <w:rFonts w:cs="Arial"/>
          <w:szCs w:val="24"/>
          <w:lang w:eastAsia="pl-PL"/>
        </w:rPr>
        <w:t>następujące działania</w:t>
      </w:r>
      <w:r w:rsidRPr="00211D94">
        <w:rPr>
          <w:rFonts w:cs="Arial"/>
          <w:szCs w:val="24"/>
          <w:lang w:eastAsia="pl-PL"/>
        </w:rPr>
        <w:t>:</w:t>
      </w:r>
    </w:p>
    <w:p w14:paraId="524FB383" w14:textId="520B8F2A" w:rsidR="00CD2B14"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zakup wyposażenia i środków ochrony przed zakażeniem (środki ochrony osobistej;</w:t>
      </w:r>
      <w:r w:rsidR="004F3CF7" w:rsidRPr="00211D94">
        <w:rPr>
          <w:rFonts w:cs="Arial"/>
          <w:szCs w:val="24"/>
          <w:lang w:eastAsia="pl-PL"/>
        </w:rPr>
        <w:t xml:space="preserve"> </w:t>
      </w:r>
      <w:r w:rsidRPr="00211D94">
        <w:rPr>
          <w:rFonts w:cs="Arial"/>
          <w:szCs w:val="24"/>
          <w:lang w:eastAsia="pl-PL"/>
        </w:rPr>
        <w:t>środki dezynfekcyjne; wyroby medyczne jednorazowego użytku);</w:t>
      </w:r>
    </w:p>
    <w:p w14:paraId="77EB6A08" w14:textId="6C68B16B" w:rsidR="00CD2B14"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modernizacja / dostosowanie infrastruktury podmiotu medycznego do potrzeb</w:t>
      </w:r>
      <w:r w:rsidR="004F3CF7" w:rsidRPr="00211D94">
        <w:rPr>
          <w:rFonts w:cs="Arial"/>
          <w:szCs w:val="24"/>
          <w:lang w:eastAsia="pl-PL"/>
        </w:rPr>
        <w:t xml:space="preserve"> </w:t>
      </w:r>
      <w:r w:rsidRPr="00211D94">
        <w:rPr>
          <w:rFonts w:cs="Arial"/>
          <w:szCs w:val="24"/>
          <w:lang w:eastAsia="pl-PL"/>
        </w:rPr>
        <w:t xml:space="preserve">związanych ze zwalczaniem pandemii COVID-19 (budowa </w:t>
      </w:r>
      <w:proofErr w:type="spellStart"/>
      <w:r w:rsidRPr="00211D94">
        <w:rPr>
          <w:rFonts w:cs="Arial"/>
          <w:szCs w:val="24"/>
          <w:lang w:eastAsia="pl-PL"/>
        </w:rPr>
        <w:t>sal</w:t>
      </w:r>
      <w:proofErr w:type="spellEnd"/>
      <w:r w:rsidRPr="00211D94">
        <w:rPr>
          <w:rFonts w:cs="Arial"/>
          <w:szCs w:val="24"/>
          <w:lang w:eastAsia="pl-PL"/>
        </w:rPr>
        <w:t xml:space="preserve"> modułowych;</w:t>
      </w:r>
      <w:r w:rsidR="004F3CF7" w:rsidRPr="00211D94">
        <w:rPr>
          <w:rFonts w:cs="Arial"/>
          <w:szCs w:val="24"/>
          <w:lang w:eastAsia="pl-PL"/>
        </w:rPr>
        <w:t xml:space="preserve"> </w:t>
      </w:r>
      <w:r w:rsidRPr="00211D94">
        <w:rPr>
          <w:rFonts w:cs="Arial"/>
          <w:szCs w:val="24"/>
          <w:lang w:eastAsia="pl-PL"/>
        </w:rPr>
        <w:t>instalacja tymczasowych obiektów kubaturowych; budowa wind; rozbudowa</w:t>
      </w:r>
      <w:r w:rsidR="004F3CF7" w:rsidRPr="00211D94">
        <w:rPr>
          <w:rFonts w:cs="Arial"/>
          <w:szCs w:val="24"/>
          <w:lang w:eastAsia="pl-PL"/>
        </w:rPr>
        <w:t xml:space="preserve"> </w:t>
      </w:r>
      <w:r w:rsidRPr="00211D94">
        <w:rPr>
          <w:rFonts w:cs="Arial"/>
          <w:szCs w:val="24"/>
          <w:lang w:eastAsia="pl-PL"/>
        </w:rPr>
        <w:t>pomieszczeń);</w:t>
      </w:r>
    </w:p>
    <w:p w14:paraId="13522B2B" w14:textId="37233EA7" w:rsidR="00CD2B14"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zakup sprzętu medycznego (zakupy w projektach obejmowały takie rodzaje</w:t>
      </w:r>
      <w:r w:rsidR="004F3CF7" w:rsidRPr="00211D94">
        <w:rPr>
          <w:rFonts w:cs="Arial"/>
          <w:szCs w:val="24"/>
          <w:lang w:eastAsia="pl-PL"/>
        </w:rPr>
        <w:t xml:space="preserve"> </w:t>
      </w:r>
      <w:r w:rsidRPr="00211D94">
        <w:rPr>
          <w:rFonts w:cs="Arial"/>
          <w:szCs w:val="24"/>
          <w:lang w:eastAsia="pl-PL"/>
        </w:rPr>
        <w:t>sprzętu jak: tomograf komputerowy; respirator; kardiomonitor; analizator</w:t>
      </w:r>
      <w:r w:rsidR="004F3CF7" w:rsidRPr="00211D94">
        <w:rPr>
          <w:rFonts w:cs="Arial"/>
          <w:szCs w:val="24"/>
          <w:lang w:eastAsia="pl-PL"/>
        </w:rPr>
        <w:t xml:space="preserve"> </w:t>
      </w:r>
      <w:r w:rsidRPr="00211D94">
        <w:rPr>
          <w:rFonts w:cs="Arial"/>
          <w:szCs w:val="24"/>
          <w:lang w:eastAsia="pl-PL"/>
        </w:rPr>
        <w:t>parametrów krytycznych; bronchoskop; aparat RTG; ramię C);</w:t>
      </w:r>
    </w:p>
    <w:p w14:paraId="524EC140" w14:textId="296BF133" w:rsidR="00CD2B14"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zakup innego rodzaju sprzętu (komory laminarne; łóżka szpitalne);</w:t>
      </w:r>
    </w:p>
    <w:p w14:paraId="325889AB" w14:textId="01894B5A" w:rsidR="00CD2B14"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zakup pojazdów medycznych;</w:t>
      </w:r>
    </w:p>
    <w:p w14:paraId="4E1E996A" w14:textId="5F67F3DB" w:rsidR="00CA75B6" w:rsidRPr="00211D94" w:rsidRDefault="00CD2B14" w:rsidP="00F55865">
      <w:pPr>
        <w:pStyle w:val="Akapitzlist"/>
        <w:numPr>
          <w:ilvl w:val="0"/>
          <w:numId w:val="59"/>
        </w:numPr>
        <w:autoSpaceDE w:val="0"/>
        <w:autoSpaceDN w:val="0"/>
        <w:adjustRightInd w:val="0"/>
        <w:spacing w:before="120" w:after="120" w:line="276" w:lineRule="auto"/>
        <w:rPr>
          <w:rFonts w:cs="Arial"/>
          <w:szCs w:val="24"/>
          <w:lang w:eastAsia="pl-PL"/>
        </w:rPr>
      </w:pPr>
      <w:r w:rsidRPr="00211D94">
        <w:rPr>
          <w:rFonts w:cs="Arial"/>
          <w:szCs w:val="24"/>
          <w:lang w:eastAsia="pl-PL"/>
        </w:rPr>
        <w:t>wdrożenie rozwiązań z obszaru e-zdrowia na potrzeby zdalnej realizacji świadczeń</w:t>
      </w:r>
      <w:r w:rsidR="004F3CF7" w:rsidRPr="00211D94">
        <w:rPr>
          <w:rFonts w:cs="Arial"/>
          <w:szCs w:val="24"/>
          <w:lang w:eastAsia="pl-PL"/>
        </w:rPr>
        <w:t xml:space="preserve"> </w:t>
      </w:r>
      <w:r w:rsidRPr="00211D94">
        <w:rPr>
          <w:rFonts w:cs="Arial"/>
          <w:szCs w:val="24"/>
          <w:lang w:eastAsia="pl-PL"/>
        </w:rPr>
        <w:t>medycznych.</w:t>
      </w:r>
    </w:p>
    <w:p w14:paraId="6E1F3600" w14:textId="296010ED" w:rsidR="00CA75B6" w:rsidRPr="00211D94" w:rsidRDefault="00CA75B6" w:rsidP="00F55865">
      <w:pPr>
        <w:autoSpaceDE w:val="0"/>
        <w:autoSpaceDN w:val="0"/>
        <w:adjustRightInd w:val="0"/>
        <w:spacing w:before="120" w:after="120"/>
        <w:rPr>
          <w:rFonts w:cs="Arial"/>
          <w:szCs w:val="24"/>
          <w:lang w:eastAsia="pl-PL"/>
        </w:rPr>
      </w:pPr>
      <w:r w:rsidRPr="00211D94">
        <w:rPr>
          <w:rFonts w:cs="Arial"/>
          <w:szCs w:val="24"/>
          <w:lang w:eastAsia="pl-PL"/>
        </w:rPr>
        <w:t>Uwzględniając całość wsparcia w kontekście wyzwań w obszarze zdrowia związanych z pandemią COVID-19 należy w szczególności podkreślić i – pozytywnie ocenić – kompleksowość udzielonej pomocy. Interwencja współfinansowana w ramach EFRR koncentrowała się na systemie ochrony zdrowia – wzmacniając jego potencjał i ograniczając negatywny wpływ kryzysu pandemicznego na funkcjonowanie placówek ochrony zdrowia. Wspartych w zwalczaniu lub przeciwdziałaniu skutkom pandemii COVID-19 zostało 36 podmiotów leczniczych (102,9% wartości docelowej) oraz zakupiono 47 respiratorów w celu wsparcia leczenia COVID-19 (587,5% wartości docelowej).</w:t>
      </w:r>
    </w:p>
    <w:p w14:paraId="38A0C7A1" w14:textId="4B758732" w:rsidR="00B95A93" w:rsidRPr="00211D94" w:rsidRDefault="004F3CF7" w:rsidP="00F55865">
      <w:pPr>
        <w:autoSpaceDE w:val="0"/>
        <w:autoSpaceDN w:val="0"/>
        <w:adjustRightInd w:val="0"/>
        <w:spacing w:before="120" w:after="120"/>
        <w:rPr>
          <w:rFonts w:cs="Arial"/>
          <w:szCs w:val="24"/>
          <w:lang w:eastAsia="pl-PL"/>
        </w:rPr>
      </w:pPr>
      <w:r w:rsidRPr="00211D94">
        <w:rPr>
          <w:rFonts w:cs="Arial"/>
          <w:szCs w:val="24"/>
          <w:lang w:eastAsia="pl-PL"/>
        </w:rPr>
        <w:t>W ramach Działania 7.2</w:t>
      </w:r>
      <w:r w:rsidR="008E54B7" w:rsidRPr="00211D94">
        <w:rPr>
          <w:rFonts w:cs="Arial"/>
          <w:szCs w:val="24"/>
          <w:lang w:eastAsia="pl-PL"/>
        </w:rPr>
        <w:t>.</w:t>
      </w:r>
      <w:r w:rsidRPr="00211D94">
        <w:rPr>
          <w:rFonts w:cs="Arial"/>
          <w:szCs w:val="24"/>
          <w:lang w:eastAsia="pl-PL"/>
        </w:rPr>
        <w:t xml:space="preserve"> </w:t>
      </w:r>
      <w:r w:rsidR="002E5874" w:rsidRPr="00211D94">
        <w:rPr>
          <w:rFonts w:cs="Arial"/>
          <w:szCs w:val="24"/>
          <w:lang w:eastAsia="pl-PL"/>
        </w:rPr>
        <w:t>„</w:t>
      </w:r>
      <w:r w:rsidRPr="00211D94">
        <w:rPr>
          <w:rFonts w:cs="Arial"/>
          <w:szCs w:val="24"/>
          <w:lang w:eastAsia="pl-PL"/>
        </w:rPr>
        <w:t xml:space="preserve">Systemy informatyczne i </w:t>
      </w:r>
      <w:proofErr w:type="spellStart"/>
      <w:r w:rsidRPr="00211D94">
        <w:rPr>
          <w:rFonts w:cs="Arial"/>
          <w:szCs w:val="24"/>
          <w:lang w:eastAsia="pl-PL"/>
        </w:rPr>
        <w:t>telemedyczne</w:t>
      </w:r>
      <w:proofErr w:type="spellEnd"/>
      <w:r w:rsidR="002E5874" w:rsidRPr="00211D94">
        <w:rPr>
          <w:rFonts w:cs="Arial"/>
          <w:szCs w:val="24"/>
          <w:lang w:eastAsia="pl-PL"/>
        </w:rPr>
        <w:t>”</w:t>
      </w:r>
      <w:r w:rsidRPr="00211D94">
        <w:rPr>
          <w:rFonts w:cs="Arial"/>
          <w:szCs w:val="24"/>
          <w:lang w:eastAsia="pl-PL"/>
        </w:rPr>
        <w:t xml:space="preserve"> </w:t>
      </w:r>
      <w:r w:rsidR="00C903E0" w:rsidRPr="00211D94">
        <w:rPr>
          <w:rFonts w:cs="Arial"/>
          <w:szCs w:val="24"/>
          <w:lang w:eastAsia="pl-PL"/>
        </w:rPr>
        <w:t xml:space="preserve">(PI 2c) </w:t>
      </w:r>
      <w:r w:rsidRPr="00211D94">
        <w:rPr>
          <w:rFonts w:cs="Arial"/>
          <w:szCs w:val="24"/>
          <w:lang w:eastAsia="pl-PL"/>
        </w:rPr>
        <w:t xml:space="preserve">dofinansowano 15 projektów, których generalnym celem było </w:t>
      </w:r>
      <w:r w:rsidR="00C0297B" w:rsidRPr="00211D94">
        <w:rPr>
          <w:rFonts w:cs="Arial"/>
          <w:szCs w:val="24"/>
          <w:lang w:eastAsia="pl-PL"/>
        </w:rPr>
        <w:t>wdrożenie</w:t>
      </w:r>
      <w:r w:rsidRPr="00211D94">
        <w:rPr>
          <w:rFonts w:cs="Arial"/>
          <w:szCs w:val="24"/>
          <w:lang w:eastAsia="pl-PL"/>
        </w:rPr>
        <w:t xml:space="preserve"> </w:t>
      </w:r>
      <w:proofErr w:type="spellStart"/>
      <w:r w:rsidRPr="00211D94">
        <w:rPr>
          <w:rFonts w:cs="Arial"/>
          <w:szCs w:val="24"/>
          <w:lang w:eastAsia="pl-PL"/>
        </w:rPr>
        <w:t>interoperacyjnych</w:t>
      </w:r>
      <w:proofErr w:type="spellEnd"/>
      <w:r w:rsidRPr="00211D94">
        <w:rPr>
          <w:rFonts w:cs="Arial"/>
          <w:szCs w:val="24"/>
          <w:lang w:eastAsia="pl-PL"/>
        </w:rPr>
        <w:t xml:space="preserve"> systemów informatycznych obsługujących wszystkie procesy związane z funkcjonowaniem jednostek systemu zdrowia</w:t>
      </w:r>
      <w:r w:rsidR="00CB7A4D" w:rsidRPr="00211D94">
        <w:rPr>
          <w:rFonts w:cs="Arial"/>
          <w:szCs w:val="24"/>
          <w:lang w:eastAsia="pl-PL"/>
        </w:rPr>
        <w:t xml:space="preserve">. Udzielono dofinansowania w trybie konkursowym dla 14 projektów, które były </w:t>
      </w:r>
      <w:r w:rsidRPr="00211D94">
        <w:rPr>
          <w:rFonts w:cs="Arial"/>
          <w:szCs w:val="24"/>
          <w:lang w:eastAsia="pl-PL"/>
        </w:rPr>
        <w:t xml:space="preserve">zróżnicowane pod względem szczegółowego zakresu realizowanych zadań i zaplanowanych efektów </w:t>
      </w:r>
      <w:r w:rsidR="00CB7A4D" w:rsidRPr="00211D94">
        <w:rPr>
          <w:rFonts w:cs="Arial"/>
          <w:szCs w:val="24"/>
          <w:lang w:eastAsia="pl-PL"/>
        </w:rPr>
        <w:t>-</w:t>
      </w:r>
      <w:r w:rsidRPr="00211D94">
        <w:rPr>
          <w:rFonts w:cs="Arial"/>
          <w:szCs w:val="24"/>
          <w:lang w:eastAsia="pl-PL"/>
        </w:rPr>
        <w:t xml:space="preserve"> są to </w:t>
      </w:r>
      <w:r w:rsidR="00CB7A4D" w:rsidRPr="00211D94">
        <w:rPr>
          <w:rFonts w:cs="Arial"/>
          <w:szCs w:val="24"/>
          <w:lang w:eastAsia="pl-PL"/>
        </w:rPr>
        <w:t>projekty</w:t>
      </w:r>
      <w:r w:rsidRPr="00211D94">
        <w:rPr>
          <w:rFonts w:cs="Arial"/>
          <w:szCs w:val="24"/>
          <w:lang w:eastAsia="pl-PL"/>
        </w:rPr>
        <w:t xml:space="preserve"> </w:t>
      </w:r>
      <w:r w:rsidR="001335E3" w:rsidRPr="00211D94">
        <w:rPr>
          <w:rFonts w:cs="Arial"/>
          <w:szCs w:val="24"/>
          <w:lang w:eastAsia="pl-PL"/>
        </w:rPr>
        <w:t>z</w:t>
      </w:r>
      <w:r w:rsidRPr="00211D94">
        <w:rPr>
          <w:rFonts w:cs="Arial"/>
          <w:szCs w:val="24"/>
          <w:lang w:eastAsia="pl-PL"/>
        </w:rPr>
        <w:t xml:space="preserve">realizowane przez podmioty lecznicze (lub organy je prowadzące) na własną rzecz. </w:t>
      </w:r>
    </w:p>
    <w:p w14:paraId="1CC1BF63" w14:textId="45A066A7" w:rsidR="004F3CF7" w:rsidRPr="00211D94" w:rsidRDefault="00CB7A4D" w:rsidP="00F55865">
      <w:pPr>
        <w:autoSpaceDE w:val="0"/>
        <w:autoSpaceDN w:val="0"/>
        <w:adjustRightInd w:val="0"/>
        <w:spacing w:before="120" w:after="120"/>
        <w:rPr>
          <w:rFonts w:cs="Arial"/>
          <w:szCs w:val="24"/>
          <w:lang w:eastAsia="pl-PL"/>
        </w:rPr>
      </w:pPr>
      <w:r w:rsidRPr="00211D94">
        <w:rPr>
          <w:rFonts w:cs="Arial"/>
          <w:szCs w:val="24"/>
          <w:lang w:eastAsia="pl-PL"/>
        </w:rPr>
        <w:t>Ponadto</w:t>
      </w:r>
      <w:r w:rsidR="009B0C83" w:rsidRPr="00211D94">
        <w:rPr>
          <w:rFonts w:cs="Arial"/>
          <w:szCs w:val="24"/>
          <w:lang w:eastAsia="pl-PL"/>
        </w:rPr>
        <w:t xml:space="preserve"> </w:t>
      </w:r>
      <w:r w:rsidR="00DA4AD3" w:rsidRPr="00211D94">
        <w:rPr>
          <w:rFonts w:cs="Arial"/>
          <w:szCs w:val="24"/>
          <w:lang w:eastAsia="pl-PL"/>
        </w:rPr>
        <w:t>wsparto</w:t>
      </w:r>
      <w:r w:rsidR="009B0C83" w:rsidRPr="00211D94">
        <w:rPr>
          <w:rFonts w:cs="Arial"/>
          <w:szCs w:val="24"/>
          <w:lang w:eastAsia="pl-PL"/>
        </w:rPr>
        <w:t xml:space="preserve"> realizację przedsięwzięcia strategicznego</w:t>
      </w:r>
      <w:r w:rsidR="00C0297B" w:rsidRPr="00211D94">
        <w:rPr>
          <w:rFonts w:cs="Arial"/>
          <w:szCs w:val="24"/>
          <w:lang w:eastAsia="pl-PL"/>
        </w:rPr>
        <w:t xml:space="preserve"> pt.: „Pomorskie e-zdrowie”</w:t>
      </w:r>
      <w:r w:rsidR="009B0C83" w:rsidRPr="00211D94">
        <w:rPr>
          <w:rFonts w:cs="Arial"/>
          <w:szCs w:val="24"/>
          <w:lang w:eastAsia="pl-PL"/>
        </w:rPr>
        <w:t xml:space="preserve">, dotyczącego wdrożenia systemów e-zdrowia w podmiotach leczniczych świadczących specjalistyczne usługi zdrowotne, dla których organem założycielskim jest </w:t>
      </w:r>
      <w:r w:rsidR="00C0297B" w:rsidRPr="00211D94">
        <w:rPr>
          <w:rFonts w:cs="Arial"/>
          <w:szCs w:val="24"/>
          <w:lang w:eastAsia="pl-PL"/>
        </w:rPr>
        <w:t>SWP</w:t>
      </w:r>
      <w:r w:rsidR="009B0C83" w:rsidRPr="00211D94">
        <w:rPr>
          <w:rFonts w:cs="Arial"/>
          <w:szCs w:val="24"/>
          <w:lang w:eastAsia="pl-PL"/>
        </w:rPr>
        <w:t>.</w:t>
      </w:r>
      <w:r w:rsidR="00777ED4" w:rsidRPr="00211D94">
        <w:rPr>
          <w:rFonts w:cs="Arial"/>
          <w:szCs w:val="24"/>
          <w:lang w:eastAsia="pl-PL"/>
        </w:rPr>
        <w:t xml:space="preserve"> P</w:t>
      </w:r>
      <w:r w:rsidR="004F3CF7" w:rsidRPr="00211D94">
        <w:rPr>
          <w:rFonts w:cs="Arial"/>
          <w:szCs w:val="24"/>
          <w:lang w:eastAsia="pl-PL"/>
        </w:rPr>
        <w:t xml:space="preserve">rzedsięwzięcie </w:t>
      </w:r>
      <w:r w:rsidR="00777ED4" w:rsidRPr="00211D94">
        <w:rPr>
          <w:rFonts w:cs="Arial"/>
          <w:szCs w:val="24"/>
          <w:lang w:eastAsia="pl-PL"/>
        </w:rPr>
        <w:t xml:space="preserve">to jest realizowane w ramach projektu </w:t>
      </w:r>
      <w:r w:rsidR="004F3CF7" w:rsidRPr="00211D94">
        <w:rPr>
          <w:rFonts w:cs="Arial"/>
          <w:szCs w:val="24"/>
          <w:lang w:eastAsia="pl-PL"/>
        </w:rPr>
        <w:t>„Pomorskie e-Zdrowie”, którego zarówno skala (mierzona wartością projektu – tego projektu dotyczy ponad 80% alokacji przewidzianej na Działanie 7.2 – oraz liczbą podmiotów objętych wsparciem), jak i zakres realizowanych działań znacząco odbiega od projektów dofinansowanych w trybie konkursowym.</w:t>
      </w:r>
      <w:r w:rsidR="00FA6ADE" w:rsidRPr="00211D94">
        <w:rPr>
          <w:rFonts w:cs="Arial"/>
          <w:szCs w:val="24"/>
          <w:lang w:eastAsia="pl-PL"/>
        </w:rPr>
        <w:t xml:space="preserve"> </w:t>
      </w:r>
      <w:r w:rsidR="00777ED4" w:rsidRPr="00211D94">
        <w:rPr>
          <w:rFonts w:cs="Arial"/>
        </w:rPr>
        <w:t xml:space="preserve">Jest to o tyle istotne, że w ramach </w:t>
      </w:r>
      <w:r w:rsidR="00DA4AD3" w:rsidRPr="00211D94">
        <w:rPr>
          <w:rFonts w:cs="Arial"/>
        </w:rPr>
        <w:t>tego</w:t>
      </w:r>
      <w:r w:rsidR="00777ED4" w:rsidRPr="00211D94">
        <w:rPr>
          <w:rFonts w:cs="Arial"/>
        </w:rPr>
        <w:t xml:space="preserve"> projektu przyjęto bardzo szerokie, kompleksowe, podejście do realizacji celu interwencji, jakim jest wdrożenie </w:t>
      </w:r>
      <w:proofErr w:type="spellStart"/>
      <w:r w:rsidR="00777ED4" w:rsidRPr="00211D94">
        <w:rPr>
          <w:rFonts w:cs="Arial"/>
        </w:rPr>
        <w:t>interoperacyjnych</w:t>
      </w:r>
      <w:proofErr w:type="spellEnd"/>
      <w:r w:rsidR="00777ED4" w:rsidRPr="00211D94">
        <w:rPr>
          <w:rFonts w:cs="Arial"/>
        </w:rPr>
        <w:t xml:space="preserve"> systemów informatycznych obsługujących wszystkie procesy związane z funkcjonowaniem jednostek systemu zdrowia</w:t>
      </w:r>
      <w:r w:rsidR="00B95A93" w:rsidRPr="00211D94">
        <w:rPr>
          <w:rFonts w:cs="Arial"/>
        </w:rPr>
        <w:t>.</w:t>
      </w:r>
    </w:p>
    <w:p w14:paraId="2897F228" w14:textId="5B0A4411" w:rsidR="00DD4D49" w:rsidRPr="00211D94" w:rsidRDefault="00C903E0" w:rsidP="00F55865">
      <w:pPr>
        <w:autoSpaceDE w:val="0"/>
        <w:autoSpaceDN w:val="0"/>
        <w:adjustRightInd w:val="0"/>
        <w:spacing w:before="120" w:after="120"/>
        <w:rPr>
          <w:rFonts w:cs="Arial"/>
          <w:szCs w:val="24"/>
          <w:lang w:eastAsia="pl-PL"/>
        </w:rPr>
      </w:pPr>
      <w:r w:rsidRPr="00211D94">
        <w:rPr>
          <w:rFonts w:cs="Arial"/>
        </w:rPr>
        <w:t xml:space="preserve">Wskaźnik programowy </w:t>
      </w:r>
      <w:r w:rsidR="00B348AA" w:rsidRPr="00211D94">
        <w:rPr>
          <w:rFonts w:cs="Arial"/>
        </w:rPr>
        <w:t>„</w:t>
      </w:r>
      <w:r w:rsidRPr="00211D94">
        <w:rPr>
          <w:rFonts w:cs="Arial"/>
        </w:rPr>
        <w:t>Liczba podmiotów leczniczych, w których wdrożono usługę publiczną udostępnianą on-line o stopniu dojrzałości co najmniej 3-dwustronna interakcja</w:t>
      </w:r>
      <w:r w:rsidR="00B348AA" w:rsidRPr="00211D94">
        <w:rPr>
          <w:rFonts w:cs="Arial"/>
        </w:rPr>
        <w:t>”</w:t>
      </w:r>
      <w:r w:rsidRPr="00211D94">
        <w:rPr>
          <w:rFonts w:cs="Arial"/>
        </w:rPr>
        <w:t xml:space="preserve"> wyniósł 25 szt. (100% wartości docelowej), jednak należy zauważyć, że na przedstawi</w:t>
      </w:r>
      <w:r w:rsidR="00777ED4" w:rsidRPr="00211D94">
        <w:rPr>
          <w:rFonts w:cs="Arial"/>
        </w:rPr>
        <w:t>o</w:t>
      </w:r>
      <w:r w:rsidRPr="00211D94">
        <w:rPr>
          <w:rFonts w:cs="Arial"/>
        </w:rPr>
        <w:t xml:space="preserve">ną wartość wskaźnika nie składa </w:t>
      </w:r>
      <w:r w:rsidR="00777ED4" w:rsidRPr="00211D94">
        <w:rPr>
          <w:rFonts w:cs="Arial"/>
        </w:rPr>
        <w:t xml:space="preserve">się </w:t>
      </w:r>
      <w:r w:rsidRPr="00211D94">
        <w:rPr>
          <w:rFonts w:cs="Arial"/>
        </w:rPr>
        <w:t xml:space="preserve">zadeklarowana w projekcie </w:t>
      </w:r>
      <w:r w:rsidR="00B348AA" w:rsidRPr="00211D94">
        <w:rPr>
          <w:rFonts w:cs="Arial"/>
        </w:rPr>
        <w:t>„</w:t>
      </w:r>
      <w:r w:rsidRPr="00211D94">
        <w:rPr>
          <w:rFonts w:cs="Arial"/>
        </w:rPr>
        <w:t>Pomorskie e-Zdrowie</w:t>
      </w:r>
      <w:r w:rsidR="00B348AA" w:rsidRPr="00211D94">
        <w:rPr>
          <w:rFonts w:cs="Arial"/>
        </w:rPr>
        <w:t>”</w:t>
      </w:r>
      <w:r w:rsidRPr="00211D94">
        <w:rPr>
          <w:rFonts w:cs="Arial"/>
        </w:rPr>
        <w:t xml:space="preserve"> wartość 13 szt. </w:t>
      </w:r>
      <w:r w:rsidR="00F55A6C" w:rsidRPr="00211D94">
        <w:rPr>
          <w:rFonts w:cs="Arial"/>
        </w:rPr>
        <w:t xml:space="preserve">- </w:t>
      </w:r>
      <w:r w:rsidR="004F3CF7" w:rsidRPr="00211D94">
        <w:rPr>
          <w:rFonts w:cs="Arial"/>
        </w:rPr>
        <w:t>projekt</w:t>
      </w:r>
      <w:r w:rsidR="00777ED4" w:rsidRPr="00211D94">
        <w:rPr>
          <w:rFonts w:cs="Arial"/>
        </w:rPr>
        <w:t xml:space="preserve"> </w:t>
      </w:r>
      <w:r w:rsidR="00DD4D49" w:rsidRPr="00211D94">
        <w:rPr>
          <w:rFonts w:cs="Arial"/>
          <w:szCs w:val="24"/>
          <w:lang w:eastAsia="pl-PL"/>
        </w:rPr>
        <w:t>został wpisany na listę projektów niefunkcjonujących</w:t>
      </w:r>
      <w:r w:rsidR="00B95A93" w:rsidRPr="00211D94">
        <w:rPr>
          <w:rFonts w:cs="Arial"/>
          <w:szCs w:val="24"/>
          <w:lang w:eastAsia="pl-PL"/>
        </w:rPr>
        <w:t xml:space="preserve"> </w:t>
      </w:r>
      <w:r w:rsidR="00B95A93" w:rsidRPr="00211D94">
        <w:rPr>
          <w:rFonts w:cs="Arial"/>
          <w:szCs w:val="24"/>
        </w:rPr>
        <w:t xml:space="preserve">(szczegóły w Załączniku nr II do </w:t>
      </w:r>
      <w:r w:rsidR="00345CDA" w:rsidRPr="00211D94">
        <w:rPr>
          <w:rFonts w:cs="Arial"/>
          <w:szCs w:val="24"/>
        </w:rPr>
        <w:t>sprawozdania</w:t>
      </w:r>
      <w:r w:rsidR="00B95A93" w:rsidRPr="00211D94">
        <w:rPr>
          <w:rFonts w:cs="Arial"/>
          <w:szCs w:val="24"/>
        </w:rPr>
        <w:t>).</w:t>
      </w:r>
    </w:p>
    <w:p w14:paraId="31671039" w14:textId="3E449770" w:rsidR="00487FA6" w:rsidRPr="00211D94" w:rsidRDefault="00487FA6" w:rsidP="00F55865">
      <w:pPr>
        <w:autoSpaceDE w:val="0"/>
        <w:autoSpaceDN w:val="0"/>
        <w:adjustRightInd w:val="0"/>
        <w:spacing w:before="120" w:after="120"/>
        <w:rPr>
          <w:rFonts w:cs="Arial"/>
          <w:szCs w:val="24"/>
          <w:lang w:eastAsia="pl-PL"/>
        </w:rPr>
      </w:pPr>
      <w:r w:rsidRPr="00211D94">
        <w:rPr>
          <w:rFonts w:cs="Arial"/>
          <w:szCs w:val="24"/>
          <w:lang w:eastAsia="pl-PL"/>
        </w:rPr>
        <w:t>W 2020 r. rozszerzono zakres wsparcia RPO WP w ramach OP7 o rozwój infrastruktury społecznej – Działanie 7.3</w:t>
      </w:r>
      <w:r w:rsidR="008E54B7" w:rsidRPr="00211D94">
        <w:rPr>
          <w:rFonts w:cs="Arial"/>
          <w:szCs w:val="24"/>
          <w:lang w:eastAsia="pl-PL"/>
        </w:rPr>
        <w:t>.</w:t>
      </w:r>
      <w:r w:rsidR="00777ED4" w:rsidRPr="00211D94">
        <w:rPr>
          <w:rFonts w:cs="Arial"/>
          <w:szCs w:val="24"/>
          <w:lang w:eastAsia="pl-PL"/>
        </w:rPr>
        <w:t xml:space="preserve"> </w:t>
      </w:r>
      <w:r w:rsidR="00B348AA" w:rsidRPr="00211D94">
        <w:rPr>
          <w:rFonts w:cs="Arial"/>
          <w:szCs w:val="24"/>
          <w:lang w:eastAsia="pl-PL"/>
        </w:rPr>
        <w:t>„</w:t>
      </w:r>
      <w:r w:rsidR="00777ED4" w:rsidRPr="00211D94">
        <w:rPr>
          <w:rFonts w:cs="Arial"/>
          <w:szCs w:val="24"/>
          <w:lang w:eastAsia="pl-PL"/>
        </w:rPr>
        <w:t>Infrastruktura społeczna</w:t>
      </w:r>
      <w:r w:rsidR="00B348AA" w:rsidRPr="00211D94">
        <w:rPr>
          <w:rFonts w:cs="Arial"/>
          <w:szCs w:val="24"/>
          <w:lang w:eastAsia="pl-PL"/>
        </w:rPr>
        <w:t>”</w:t>
      </w:r>
      <w:r w:rsidR="00777ED4" w:rsidRPr="00211D94">
        <w:rPr>
          <w:rFonts w:cs="Arial"/>
          <w:szCs w:val="24"/>
          <w:lang w:eastAsia="pl-PL"/>
        </w:rPr>
        <w:t xml:space="preserve"> </w:t>
      </w:r>
      <w:r w:rsidR="00F55A6C" w:rsidRPr="00211D94">
        <w:rPr>
          <w:rFonts w:cs="Arial"/>
          <w:szCs w:val="24"/>
          <w:lang w:eastAsia="pl-PL"/>
        </w:rPr>
        <w:t xml:space="preserve">- </w:t>
      </w:r>
      <w:r w:rsidR="00777ED4" w:rsidRPr="00211D94">
        <w:rPr>
          <w:rFonts w:cs="Arial"/>
          <w:szCs w:val="24"/>
          <w:lang w:eastAsia="pl-PL"/>
        </w:rPr>
        <w:t>PI</w:t>
      </w:r>
      <w:r w:rsidRPr="00211D94">
        <w:rPr>
          <w:rFonts w:cs="Arial"/>
          <w:szCs w:val="24"/>
          <w:lang w:eastAsia="pl-PL"/>
        </w:rPr>
        <w:t xml:space="preserve"> </w:t>
      </w:r>
      <w:r w:rsidR="00777ED4" w:rsidRPr="00211D94">
        <w:rPr>
          <w:rFonts w:cs="Arial"/>
          <w:szCs w:val="24"/>
          <w:lang w:eastAsia="pl-PL"/>
        </w:rPr>
        <w:t>9a</w:t>
      </w:r>
      <w:r w:rsidR="00F55A6C" w:rsidRPr="00211D94">
        <w:rPr>
          <w:rFonts w:cs="Arial"/>
          <w:szCs w:val="24"/>
          <w:lang w:eastAsia="pl-PL"/>
        </w:rPr>
        <w:t xml:space="preserve"> </w:t>
      </w:r>
      <w:r w:rsidRPr="00211D94">
        <w:rPr>
          <w:rFonts w:cs="Arial"/>
          <w:szCs w:val="24"/>
          <w:lang w:eastAsia="pl-PL"/>
        </w:rPr>
        <w:t>(interwencja pilotażowa z początkową alokacją 5 mln EUR, powiększaną następnie ze względu na rosnące koszty inwestycji – w 2022 r. było to 11,1 mln EUR).</w:t>
      </w:r>
      <w:r w:rsidR="00A45460" w:rsidRPr="00211D94">
        <w:rPr>
          <w:rFonts w:cs="Arial"/>
          <w:szCs w:val="24"/>
          <w:lang w:eastAsia="pl-PL"/>
        </w:rPr>
        <w:t xml:space="preserve"> Interwencja miała na celu stworzenie warunków dostarczania wybranych usług społecznych, tj. usług opiekuńczych, miejsc opieki </w:t>
      </w:r>
      <w:proofErr w:type="spellStart"/>
      <w:r w:rsidR="00A45460" w:rsidRPr="00211D94">
        <w:rPr>
          <w:rFonts w:cs="Arial"/>
          <w:szCs w:val="24"/>
          <w:lang w:eastAsia="pl-PL"/>
        </w:rPr>
        <w:t>wytchnieniowej</w:t>
      </w:r>
      <w:proofErr w:type="spellEnd"/>
      <w:r w:rsidR="00A45460" w:rsidRPr="00211D94">
        <w:rPr>
          <w:rFonts w:cs="Arial"/>
          <w:szCs w:val="24"/>
          <w:lang w:eastAsia="pl-PL"/>
        </w:rPr>
        <w:t xml:space="preserve"> i wyręczającej nad osobami potrzebującymi wsparcia w codziennym funkcjonowaniu oraz mieszkań chronionych i wspomaganych adekwatnie do zdiagnozowanych potrzeb i konsekwentne wyrównywanie różnic w dostępie do świadczeń w całym regionie, zwłaszcza w ramach zdefiniowanych deficytów infrastruktury. W ramach 10 projektów wsparto 14 obiektów, w których były realizowane usługi społeczne (280% wartości docelowej).</w:t>
      </w:r>
      <w:r w:rsidR="00F8085B" w:rsidRPr="00211D94">
        <w:rPr>
          <w:rFonts w:cs="Arial"/>
          <w:szCs w:val="24"/>
          <w:lang w:eastAsia="pl-PL"/>
        </w:rPr>
        <w:t xml:space="preserve"> Warunkiem koniecznym uzyskania wsparcia w ramach Działania 7.3 była realizacja projektu zintegrowanego, obejmującego interwencję Poddziałania 6.2.2. bezpośrednio powiązaną z zakresem projektu planowanego do realizacji w ramach Działania 7.3., przy czym wsparcie w ramach tego działania miało charakter podrzędny w stosunku do działań społecznych realizowanych w OP6.</w:t>
      </w:r>
    </w:p>
    <w:p w14:paraId="31F8CC65" w14:textId="09D9AC67" w:rsidR="00DA4AD3" w:rsidRPr="00211D94" w:rsidRDefault="00DA4AD3" w:rsidP="00DA4AD3">
      <w:pPr>
        <w:tabs>
          <w:tab w:val="left" w:pos="432"/>
        </w:tabs>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783935" w:rsidRPr="00211D94">
        <w:rPr>
          <w:rFonts w:cs="Arial"/>
          <w:szCs w:val="24"/>
        </w:rPr>
        <w:t>OP</w:t>
      </w:r>
      <w:r w:rsidRPr="00211D94">
        <w:rPr>
          <w:rFonts w:cs="Arial"/>
          <w:szCs w:val="24"/>
        </w:rPr>
        <w:t>7 RPO WP Instytucja Zarządzająca dysponuje aktualnymi danymi za rok 2023</w:t>
      </w:r>
      <w:r w:rsidR="009C4152" w:rsidRPr="00211D94">
        <w:rPr>
          <w:rFonts w:cs="Arial"/>
          <w:szCs w:val="24"/>
        </w:rPr>
        <w:t xml:space="preserve"> i 2024</w:t>
      </w:r>
      <w:r w:rsidRPr="00211D94">
        <w:rPr>
          <w:rFonts w:cs="Arial"/>
          <w:szCs w:val="24"/>
        </w:rPr>
        <w:t>. Osiągnięte wartości wskaźników przedstawiają się następująco:</w:t>
      </w:r>
    </w:p>
    <w:p w14:paraId="30C6062D" w14:textId="77777777" w:rsidR="00DA4AD3" w:rsidRPr="00211D94" w:rsidRDefault="00DA4AD3" w:rsidP="00DA4AD3">
      <w:pPr>
        <w:pStyle w:val="Akapitzlist"/>
        <w:numPr>
          <w:ilvl w:val="0"/>
          <w:numId w:val="46"/>
        </w:numPr>
        <w:tabs>
          <w:tab w:val="left" w:pos="432"/>
        </w:tabs>
        <w:spacing w:before="120" w:after="120" w:line="276" w:lineRule="auto"/>
        <w:rPr>
          <w:rFonts w:cs="Arial"/>
          <w:szCs w:val="24"/>
        </w:rPr>
      </w:pPr>
      <w:r w:rsidRPr="00211D94">
        <w:rPr>
          <w:rFonts w:cs="Arial"/>
          <w:szCs w:val="24"/>
        </w:rPr>
        <w:t>Przeciętny pobyt chorego w szpitalu wyniósł 4,7 dnia, przy wartości docelowej 4,5 dnia.</w:t>
      </w:r>
    </w:p>
    <w:p w14:paraId="37E7AAC4" w14:textId="77777777" w:rsidR="00DA4AD3" w:rsidRPr="00211D94" w:rsidRDefault="00DA4AD3" w:rsidP="00DA4AD3">
      <w:pPr>
        <w:pStyle w:val="Akapitzlist"/>
        <w:numPr>
          <w:ilvl w:val="0"/>
          <w:numId w:val="46"/>
        </w:numPr>
        <w:tabs>
          <w:tab w:val="left" w:pos="432"/>
        </w:tabs>
        <w:spacing w:before="120" w:after="120" w:line="276" w:lineRule="auto"/>
        <w:rPr>
          <w:rFonts w:cs="Arial"/>
          <w:szCs w:val="24"/>
        </w:rPr>
      </w:pPr>
      <w:r w:rsidRPr="00211D94">
        <w:rPr>
          <w:rFonts w:cs="Arial"/>
          <w:szCs w:val="24"/>
        </w:rPr>
        <w:t>Odsetek podmiotów leczniczych SWP wyposażonych w systemy informatyczne (HIS/RIS/PACS) przygotowane do integracji z platformą P1/P2 osiągnął w 2024 roku wartość 100%, przy wartości docelowej 100%.</w:t>
      </w:r>
    </w:p>
    <w:p w14:paraId="4D8EE071" w14:textId="53B18B2A" w:rsidR="00DA4AD3" w:rsidRPr="00211D94" w:rsidRDefault="00DA4AD3" w:rsidP="00DA4AD3">
      <w:pPr>
        <w:tabs>
          <w:tab w:val="left" w:pos="432"/>
        </w:tabs>
        <w:spacing w:before="120" w:after="120"/>
        <w:rPr>
          <w:rFonts w:cs="Arial"/>
          <w:szCs w:val="24"/>
        </w:rPr>
      </w:pPr>
      <w:r w:rsidRPr="00211D94">
        <w:rPr>
          <w:rFonts w:cs="Arial"/>
          <w:szCs w:val="24"/>
        </w:rPr>
        <w:t>Wskaźniki dla OP7 potwierdzają stabilną poprawę efektywności systemu ochrony zdrowia w regionie oraz realizację celów w obszarze cyfryzacji usług medycznych.</w:t>
      </w:r>
    </w:p>
    <w:p w14:paraId="7D453493" w14:textId="77777777" w:rsidR="00DA4AD3" w:rsidRPr="00211D94" w:rsidRDefault="00DA4AD3" w:rsidP="00DA4AD3">
      <w:pPr>
        <w:tabs>
          <w:tab w:val="left" w:pos="432"/>
        </w:tabs>
        <w:spacing w:before="120" w:after="120"/>
        <w:rPr>
          <w:rFonts w:cs="Arial"/>
          <w:szCs w:val="24"/>
        </w:rPr>
      </w:pPr>
      <w:r w:rsidRPr="00211D94">
        <w:rPr>
          <w:rFonts w:cs="Arial"/>
          <w:szCs w:val="24"/>
        </w:rPr>
        <w:t>Odsetek podmiotów leczniczych wyposażonych w systemy informatyczne (100%) osiągnął poziom docelowy, co oznacza pełną gotowość jednostek do integracji z ogólnopolską platformą P1/P2. Jest to istotny krok w kierunku zwiększenia interoperacyjności, bezpieczeństwa danych pacjentów i usprawnienia zarządzania informacją medyczną.</w:t>
      </w:r>
    </w:p>
    <w:p w14:paraId="62FEF053" w14:textId="0070BCF4" w:rsidR="00DA4AD3" w:rsidRPr="00211D94" w:rsidRDefault="00DA4AD3" w:rsidP="00DA4AD3">
      <w:pPr>
        <w:tabs>
          <w:tab w:val="left" w:pos="432"/>
        </w:tabs>
        <w:spacing w:before="120" w:after="120"/>
        <w:rPr>
          <w:rFonts w:cs="Arial"/>
          <w:szCs w:val="24"/>
        </w:rPr>
      </w:pPr>
      <w:r w:rsidRPr="00211D94">
        <w:rPr>
          <w:rFonts w:cs="Arial"/>
          <w:szCs w:val="24"/>
        </w:rPr>
        <w:t>Przeciętny czas pobytu pacjenta w szpitalu (4,7 dnia) pozostaje nieznacznie powyżej wartości docelowej. Może to wynikać z utrzymujących się skutków pandemii COVID-19 (od 2020 roku), w tym większej liczby hospitalizacji pacjentów z chorobami przewlekłymi lub powikłaniami po infekcjach, a także z pośrednich efektów wojny w Ukrainie – m.in. zwiększonego obciążenia części placówek opieką nad uchodźcami.</w:t>
      </w:r>
    </w:p>
    <w:p w14:paraId="695682FB" w14:textId="77777777" w:rsidR="00DA4AD3" w:rsidRPr="00211D94" w:rsidRDefault="00DA4AD3" w:rsidP="00DA4AD3">
      <w:pPr>
        <w:tabs>
          <w:tab w:val="left" w:pos="432"/>
        </w:tabs>
        <w:spacing w:before="120" w:after="120"/>
        <w:rPr>
          <w:rFonts w:cs="Arial"/>
          <w:szCs w:val="24"/>
        </w:rPr>
      </w:pPr>
      <w:r w:rsidRPr="00211D94">
        <w:rPr>
          <w:rFonts w:cs="Arial"/>
          <w:szCs w:val="24"/>
        </w:rPr>
        <w:t>Pomimo tych czynników zewnętrznych system ochrony zdrowia w regionie wykazuje wysoką odporność organizacyjną i zdolność adaptacji, utrzymując wskaźniki bliskie lub zgodne z celami.</w:t>
      </w:r>
    </w:p>
    <w:p w14:paraId="7842D564" w14:textId="2B221C43" w:rsidR="007D0568" w:rsidRPr="00211D94" w:rsidRDefault="00DA4AD3" w:rsidP="00F21B81">
      <w:pPr>
        <w:tabs>
          <w:tab w:val="left" w:pos="432"/>
        </w:tabs>
        <w:spacing w:before="120" w:after="120"/>
        <w:rPr>
          <w:rFonts w:cs="Arial"/>
          <w:szCs w:val="24"/>
        </w:rPr>
      </w:pPr>
      <w:r w:rsidRPr="00211D94">
        <w:rPr>
          <w:rFonts w:cs="Arial"/>
          <w:szCs w:val="24"/>
        </w:rPr>
        <w:t xml:space="preserve">Ogólny poziom realizacji celów rezultatu dla </w:t>
      </w:r>
      <w:r w:rsidR="001C3EB0" w:rsidRPr="00211D94">
        <w:rPr>
          <w:rFonts w:cs="Arial"/>
          <w:szCs w:val="24"/>
        </w:rPr>
        <w:t>OP</w:t>
      </w:r>
      <w:r w:rsidRPr="00211D94">
        <w:rPr>
          <w:rFonts w:cs="Arial"/>
          <w:szCs w:val="24"/>
        </w:rPr>
        <w:t>7 można ocenić jako bardzo dobry. Region utrzymał efektywność systemu świadczeń pomimo wyzwań pandemicznych i geopolitycznych.</w:t>
      </w:r>
    </w:p>
    <w:p w14:paraId="370165A0" w14:textId="77777777" w:rsidR="007D0568" w:rsidRPr="00211D94" w:rsidRDefault="007D0568" w:rsidP="00F55865">
      <w:pPr>
        <w:pStyle w:val="Nagwek2"/>
        <w:spacing w:before="120" w:after="120"/>
        <w:rPr>
          <w:rFonts w:cs="Arial"/>
          <w:color w:val="FFFFFF" w:themeColor="background1"/>
          <w:sz w:val="24"/>
          <w:szCs w:val="24"/>
          <w:lang w:eastAsia="pl-PL"/>
        </w:rPr>
      </w:pPr>
      <w:bookmarkStart w:id="152" w:name="_Toc484443228"/>
      <w:bookmarkStart w:id="153" w:name="_Toc9418245"/>
      <w:bookmarkStart w:id="154" w:name="_Toc214025288"/>
      <w:r w:rsidRPr="00211D94">
        <w:rPr>
          <w:rFonts w:cs="Arial"/>
          <w:color w:val="FFFFFF" w:themeColor="background1"/>
          <w:sz w:val="24"/>
          <w:szCs w:val="24"/>
          <w:lang w:eastAsia="pl-PL"/>
        </w:rPr>
        <w:t>OP8. KONWERSJA</w:t>
      </w:r>
      <w:bookmarkEnd w:id="152"/>
      <w:bookmarkEnd w:id="153"/>
      <w:bookmarkEnd w:id="154"/>
    </w:p>
    <w:tbl>
      <w:tblPr>
        <w:tblW w:w="0" w:type="auto"/>
        <w:tblLook w:val="04A0" w:firstRow="1" w:lastRow="0" w:firstColumn="1" w:lastColumn="0" w:noHBand="0" w:noVBand="1"/>
      </w:tblPr>
      <w:tblGrid>
        <w:gridCol w:w="1626"/>
        <w:gridCol w:w="7446"/>
      </w:tblGrid>
      <w:tr w:rsidR="007D0568" w:rsidRPr="00211D94" w14:paraId="43D68F0C" w14:textId="77777777" w:rsidTr="00756D1A">
        <w:tc>
          <w:tcPr>
            <w:tcW w:w="1626" w:type="dxa"/>
            <w:shd w:val="clear" w:color="auto" w:fill="auto"/>
          </w:tcPr>
          <w:p w14:paraId="4BA46E2F" w14:textId="3E6B3B66"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5718B048" wp14:editId="389E7139">
                  <wp:extent cx="890905" cy="831215"/>
                  <wp:effectExtent l="0" t="0" r="4445" b="6985"/>
                  <wp:docPr id="21" name="Obraz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0905" cy="831215"/>
                          </a:xfrm>
                          <a:prstGeom prst="rect">
                            <a:avLst/>
                          </a:prstGeom>
                          <a:noFill/>
                          <a:ln>
                            <a:noFill/>
                          </a:ln>
                        </pic:spPr>
                      </pic:pic>
                    </a:graphicData>
                  </a:graphic>
                </wp:inline>
              </w:drawing>
            </w:r>
          </w:p>
        </w:tc>
        <w:tc>
          <w:tcPr>
            <w:tcW w:w="7446" w:type="dxa"/>
            <w:shd w:val="clear" w:color="auto" w:fill="auto"/>
          </w:tcPr>
          <w:p w14:paraId="7E23F0B7" w14:textId="672C13C8" w:rsidR="007D0568" w:rsidRPr="00211D94" w:rsidRDefault="007D0568" w:rsidP="00F55865">
            <w:pPr>
              <w:spacing w:before="120" w:after="120"/>
              <w:rPr>
                <w:rFonts w:cs="Arial"/>
                <w:szCs w:val="24"/>
              </w:rPr>
            </w:pPr>
            <w:r w:rsidRPr="00211D94">
              <w:rPr>
                <w:rFonts w:cs="Arial"/>
                <w:szCs w:val="24"/>
              </w:rPr>
              <w:t>OP8 odpowiada</w:t>
            </w:r>
            <w:r w:rsidR="009C4152" w:rsidRPr="00211D94">
              <w:rPr>
                <w:rFonts w:cs="Arial"/>
                <w:szCs w:val="24"/>
              </w:rPr>
              <w:t>ła</w:t>
            </w:r>
            <w:r w:rsidRPr="00211D94">
              <w:rPr>
                <w:rFonts w:cs="Arial"/>
                <w:szCs w:val="24"/>
              </w:rPr>
              <w:t xml:space="preserve"> na wyzwania dotyczące aktywizacji obszarów depresji społeczno-gospodarczej oraz optymalizacji wykorzystania ich potencjałów (społecznego, gospodarczego, kulturowego i krajobrazowego) poprzez inwestycje skupiające się na kompleksowej rewitalizacji zdegradowanych obszarów miejskich oraz zrównoważonym wykorzystaniu regionalnego dziedzictwa kulturowego i przyrodniczego.</w:t>
            </w:r>
          </w:p>
        </w:tc>
      </w:tr>
    </w:tbl>
    <w:p w14:paraId="4C07C7AC"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193A8EDC" w14:textId="31C07703" w:rsidR="007D0568" w:rsidRPr="00211D94" w:rsidRDefault="007D0568" w:rsidP="00F55865">
      <w:pPr>
        <w:tabs>
          <w:tab w:val="left" w:pos="432"/>
        </w:tabs>
        <w:spacing w:before="120" w:after="120"/>
        <w:rPr>
          <w:rFonts w:cs="Arial"/>
          <w:szCs w:val="24"/>
        </w:rPr>
      </w:pPr>
      <w:r w:rsidRPr="00211D94">
        <w:rPr>
          <w:rFonts w:cs="Arial"/>
          <w:szCs w:val="24"/>
        </w:rPr>
        <w:t xml:space="preserve">W ramach OP8 </w:t>
      </w:r>
      <w:r w:rsidR="003B5EF9" w:rsidRPr="00211D94">
        <w:rPr>
          <w:rFonts w:cs="Arial"/>
          <w:szCs w:val="24"/>
        </w:rPr>
        <w:t>„</w:t>
      </w:r>
      <w:r w:rsidRPr="00211D94">
        <w:rPr>
          <w:rFonts w:cs="Arial"/>
          <w:szCs w:val="24"/>
        </w:rPr>
        <w:t>Konwersja</w:t>
      </w:r>
      <w:r w:rsidR="003B5EF9" w:rsidRPr="00211D94">
        <w:rPr>
          <w:rFonts w:cs="Arial"/>
          <w:szCs w:val="24"/>
        </w:rPr>
        <w:t>”</w:t>
      </w:r>
      <w:r w:rsidRPr="00211D94">
        <w:rPr>
          <w:rFonts w:cs="Arial"/>
          <w:szCs w:val="24"/>
        </w:rPr>
        <w:t xml:space="preserve"> zawarto </w:t>
      </w:r>
      <w:r w:rsidR="007C346A" w:rsidRPr="00211D94">
        <w:rPr>
          <w:rFonts w:cs="Arial"/>
          <w:b/>
          <w:szCs w:val="24"/>
        </w:rPr>
        <w:t>10</w:t>
      </w:r>
      <w:r w:rsidRPr="00211D94">
        <w:rPr>
          <w:rFonts w:cs="Arial"/>
          <w:b/>
          <w:szCs w:val="24"/>
        </w:rPr>
        <w:t xml:space="preserve">5 </w:t>
      </w:r>
      <w:r w:rsidRPr="00211D94">
        <w:rPr>
          <w:rFonts w:cs="Arial"/>
          <w:szCs w:val="24"/>
        </w:rPr>
        <w:t xml:space="preserve">umów na kwotę </w:t>
      </w:r>
      <w:r w:rsidR="008A0F3D" w:rsidRPr="00211D94">
        <w:rPr>
          <w:rFonts w:cs="Arial"/>
          <w:b/>
          <w:szCs w:val="24"/>
        </w:rPr>
        <w:t>309 463 938</w:t>
      </w:r>
      <w:r w:rsidR="007C346A" w:rsidRPr="00211D94">
        <w:rPr>
          <w:rFonts w:cs="Arial"/>
          <w:b/>
          <w:szCs w:val="24"/>
        </w:rPr>
        <w:t xml:space="preserve"> </w:t>
      </w:r>
      <w:r w:rsidRPr="00211D94">
        <w:rPr>
          <w:rFonts w:cs="Arial"/>
          <w:b/>
          <w:szCs w:val="24"/>
        </w:rPr>
        <w:t>EUR</w:t>
      </w:r>
      <w:r w:rsidRPr="00211D94">
        <w:rPr>
          <w:rFonts w:cs="Arial"/>
          <w:szCs w:val="24"/>
        </w:rPr>
        <w:t xml:space="preserve">, w tym dofinansowanie UE </w:t>
      </w:r>
      <w:bookmarkStart w:id="155" w:name="_Hlk212740760"/>
      <w:r w:rsidR="008A0F3D" w:rsidRPr="00211D94">
        <w:rPr>
          <w:rFonts w:cs="Arial"/>
          <w:b/>
          <w:szCs w:val="24"/>
        </w:rPr>
        <w:t>173 325 483</w:t>
      </w:r>
      <w:r w:rsidR="007C346A" w:rsidRPr="00211D94">
        <w:rPr>
          <w:rFonts w:cs="Arial"/>
          <w:b/>
          <w:szCs w:val="24"/>
        </w:rPr>
        <w:t xml:space="preserve"> </w:t>
      </w:r>
      <w:bookmarkEnd w:id="155"/>
      <w:r w:rsidRPr="00211D94">
        <w:rPr>
          <w:rFonts w:cs="Arial"/>
          <w:b/>
          <w:szCs w:val="24"/>
        </w:rPr>
        <w:t>EUR</w:t>
      </w:r>
      <w:r w:rsidRPr="00211D94">
        <w:rPr>
          <w:rFonts w:cs="Arial"/>
          <w:szCs w:val="24"/>
        </w:rPr>
        <w:t xml:space="preserve">. Tym samym kontraktacja w tej Osi została osiągnięta na poziomie </w:t>
      </w:r>
      <w:r w:rsidR="007C346A" w:rsidRPr="00211D94">
        <w:rPr>
          <w:rFonts w:cs="Arial"/>
          <w:b/>
          <w:szCs w:val="24"/>
        </w:rPr>
        <w:t>10</w:t>
      </w:r>
      <w:r w:rsidRPr="00211D94">
        <w:rPr>
          <w:rFonts w:cs="Arial"/>
          <w:b/>
          <w:szCs w:val="24"/>
        </w:rPr>
        <w:t>8,</w:t>
      </w:r>
      <w:r w:rsidR="008A0F3D" w:rsidRPr="00211D94">
        <w:rPr>
          <w:rFonts w:cs="Arial"/>
          <w:b/>
          <w:szCs w:val="24"/>
        </w:rPr>
        <w:t>6</w:t>
      </w:r>
      <w:r w:rsidRPr="00211D94">
        <w:rPr>
          <w:rFonts w:cs="Arial"/>
          <w:b/>
          <w:szCs w:val="24"/>
        </w:rPr>
        <w:t>%</w:t>
      </w:r>
      <w:r w:rsidRPr="00211D94">
        <w:rPr>
          <w:rFonts w:cs="Arial"/>
          <w:szCs w:val="24"/>
        </w:rPr>
        <w:t xml:space="preserve"> alokacji przeznaczonej na realizację OP8.</w:t>
      </w:r>
    </w:p>
    <w:p w14:paraId="76875D0B" w14:textId="2D2B2253"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B01744">
        <w:rPr>
          <w:rFonts w:cs="Arial"/>
          <w:szCs w:val="24"/>
        </w:rPr>
        <w:t xml:space="preserve"> </w:t>
      </w:r>
      <w:r w:rsidRPr="00211D94">
        <w:rPr>
          <w:rFonts w:cs="Arial"/>
          <w:szCs w:val="24"/>
        </w:rPr>
        <w:t xml:space="preserve">wydatki na kwotę </w:t>
      </w:r>
      <w:r w:rsidR="008A0F3D" w:rsidRPr="00211D94">
        <w:rPr>
          <w:rFonts w:cs="Arial"/>
          <w:b/>
          <w:szCs w:val="24"/>
        </w:rPr>
        <w:t>258 779 629</w:t>
      </w:r>
      <w:r w:rsidR="007C346A" w:rsidRPr="00211D94">
        <w:rPr>
          <w:rFonts w:cs="Arial"/>
          <w:b/>
          <w:szCs w:val="24"/>
        </w:rPr>
        <w:t xml:space="preserve"> </w:t>
      </w:r>
      <w:r w:rsidRPr="00211D94">
        <w:rPr>
          <w:rFonts w:cs="Arial"/>
          <w:b/>
          <w:szCs w:val="24"/>
        </w:rPr>
        <w:t>EUR</w:t>
      </w:r>
      <w:r w:rsidRPr="00211D94">
        <w:rPr>
          <w:rFonts w:cs="Arial"/>
          <w:szCs w:val="24"/>
        </w:rPr>
        <w:t xml:space="preserve">, w tym </w:t>
      </w:r>
      <w:r w:rsidR="008A0F3D" w:rsidRPr="00211D94">
        <w:rPr>
          <w:rFonts w:cs="Arial"/>
          <w:b/>
          <w:szCs w:val="24"/>
        </w:rPr>
        <w:t>173 322 773</w:t>
      </w:r>
      <w:r w:rsidR="007C346A" w:rsidRPr="00211D94">
        <w:rPr>
          <w:rFonts w:cs="Arial"/>
          <w:b/>
          <w:szCs w:val="24"/>
        </w:rPr>
        <w:t xml:space="preserve"> </w:t>
      </w:r>
      <w:r w:rsidRPr="00211D94">
        <w:rPr>
          <w:rFonts w:cs="Arial"/>
          <w:b/>
          <w:szCs w:val="24"/>
        </w:rPr>
        <w:t>EUR</w:t>
      </w:r>
      <w:r w:rsidRPr="00211D94">
        <w:rPr>
          <w:rFonts w:cs="Arial"/>
          <w:szCs w:val="24"/>
        </w:rPr>
        <w:t xml:space="preserve"> dofinansowania UE, co stanowi </w:t>
      </w:r>
      <w:r w:rsidR="007C346A" w:rsidRPr="00211D94">
        <w:rPr>
          <w:rFonts w:cs="Arial"/>
          <w:b/>
          <w:szCs w:val="24"/>
        </w:rPr>
        <w:t>108,</w:t>
      </w:r>
      <w:r w:rsidR="008A0F3D" w:rsidRPr="00211D94">
        <w:rPr>
          <w:rFonts w:cs="Arial"/>
          <w:b/>
          <w:szCs w:val="24"/>
        </w:rPr>
        <w:t>6</w:t>
      </w:r>
      <w:r w:rsidRPr="00211D94">
        <w:rPr>
          <w:rFonts w:cs="Arial"/>
          <w:b/>
          <w:szCs w:val="24"/>
        </w:rPr>
        <w:t xml:space="preserve">% </w:t>
      </w:r>
      <w:r w:rsidRPr="00211D94">
        <w:rPr>
          <w:rFonts w:cs="Arial"/>
          <w:szCs w:val="24"/>
        </w:rPr>
        <w:t xml:space="preserve">przeznaczonej na OP8 alokacji. </w:t>
      </w:r>
    </w:p>
    <w:p w14:paraId="7DE7D5B0" w14:textId="20FFCBEE" w:rsidR="007D0568" w:rsidRPr="00211D94" w:rsidRDefault="007D0568" w:rsidP="00F55865">
      <w:pPr>
        <w:spacing w:before="120" w:after="120"/>
        <w:rPr>
          <w:rFonts w:cs="Arial"/>
          <w:szCs w:val="24"/>
        </w:rPr>
      </w:pPr>
      <w:r w:rsidRPr="00211D94">
        <w:rPr>
          <w:rFonts w:cs="Arial"/>
          <w:szCs w:val="24"/>
        </w:rPr>
        <w:t xml:space="preserve">Dla OP8 określono w odniesieniu do </w:t>
      </w:r>
      <w:r w:rsidRPr="00211D94">
        <w:rPr>
          <w:rFonts w:cs="Arial"/>
          <w:b/>
          <w:szCs w:val="24"/>
        </w:rPr>
        <w:t>ram wykonania</w:t>
      </w:r>
      <w:r w:rsidRPr="00211D94">
        <w:rPr>
          <w:rFonts w:cs="Arial"/>
          <w:szCs w:val="24"/>
        </w:rPr>
        <w:t xml:space="preserve"> </w:t>
      </w:r>
      <w:r w:rsidR="00783935" w:rsidRPr="00211D94">
        <w:rPr>
          <w:rFonts w:cs="Arial"/>
          <w:szCs w:val="24"/>
        </w:rPr>
        <w:t>trzy</w:t>
      </w:r>
      <w:r w:rsidRPr="00211D94">
        <w:rPr>
          <w:rFonts w:cs="Arial"/>
          <w:szCs w:val="24"/>
        </w:rPr>
        <w:t xml:space="preserve"> wskaźniki – wskaźnik produktu, KEW i wskaźnik finansowy tj.:</w:t>
      </w:r>
    </w:p>
    <w:p w14:paraId="7E840B68" w14:textId="4F6139D1" w:rsidR="00976544"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Powierzchnia obszarów objętych rewitalizacją</w:t>
      </w:r>
      <w:r w:rsidRPr="00211D94">
        <w:rPr>
          <w:rFonts w:cs="Arial"/>
          <w:szCs w:val="24"/>
        </w:rPr>
        <w:t>”</w:t>
      </w:r>
      <w:r w:rsidR="007D0568" w:rsidRPr="00211D94">
        <w:rPr>
          <w:rFonts w:cs="Arial"/>
          <w:szCs w:val="24"/>
        </w:rPr>
        <w:t xml:space="preserve">, </w:t>
      </w:r>
      <w:r w:rsidR="00976544" w:rsidRPr="00211D94">
        <w:rPr>
          <w:rFonts w:cs="Arial"/>
          <w:szCs w:val="24"/>
        </w:rPr>
        <w:t>dla którego osiągnięto wartość 3 234,84 ha co stanowi 161,7% celu końcowego (2023 r.),</w:t>
      </w:r>
    </w:p>
    <w:p w14:paraId="3BED962C" w14:textId="6E3A2242" w:rsidR="007D0568"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zintegrowanych projektów rewitalizacyjnych, dla których podpisano umowy o dofinansowanie</w:t>
      </w:r>
      <w:r w:rsidRPr="00211D94">
        <w:rPr>
          <w:rFonts w:cs="Arial"/>
          <w:szCs w:val="24"/>
        </w:rPr>
        <w:t>”</w:t>
      </w:r>
      <w:r w:rsidR="007D0568" w:rsidRPr="00211D94">
        <w:rPr>
          <w:rFonts w:cs="Arial"/>
          <w:szCs w:val="24"/>
        </w:rPr>
        <w:t>, dla którego osiągnięto wartość 3</w:t>
      </w:r>
      <w:r w:rsidR="00976544" w:rsidRPr="00211D94">
        <w:rPr>
          <w:rFonts w:cs="Arial"/>
          <w:szCs w:val="24"/>
        </w:rPr>
        <w:t>2</w:t>
      </w:r>
      <w:r w:rsidR="007D0568" w:rsidRPr="00211D94">
        <w:rPr>
          <w:rFonts w:cs="Arial"/>
          <w:szCs w:val="24"/>
        </w:rPr>
        <w:t xml:space="preserve"> szt. co stanowi 1</w:t>
      </w:r>
      <w:r w:rsidR="00976544" w:rsidRPr="00211D94">
        <w:rPr>
          <w:rFonts w:cs="Arial"/>
          <w:szCs w:val="24"/>
        </w:rPr>
        <w:t>60</w:t>
      </w:r>
      <w:r w:rsidR="007D0568" w:rsidRPr="00211D94">
        <w:rPr>
          <w:rFonts w:cs="Arial"/>
          <w:szCs w:val="24"/>
        </w:rPr>
        <w:t>,0% celu pośredniego na rok 2018,</w:t>
      </w:r>
    </w:p>
    <w:p w14:paraId="24A6E8DB" w14:textId="6C92821F"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976544" w:rsidRPr="00211D94">
        <w:rPr>
          <w:rFonts w:cs="Arial"/>
          <w:szCs w:val="24"/>
        </w:rPr>
        <w:t xml:space="preserve">253 574 808 </w:t>
      </w:r>
      <w:r w:rsidRPr="00211D94">
        <w:rPr>
          <w:rFonts w:cs="Arial"/>
          <w:szCs w:val="24"/>
        </w:rPr>
        <w:t xml:space="preserve">EUR – co powoduje, że cel </w:t>
      </w:r>
      <w:r w:rsidR="00976544" w:rsidRPr="00211D94">
        <w:rPr>
          <w:rFonts w:cs="Arial"/>
          <w:szCs w:val="24"/>
        </w:rPr>
        <w:t xml:space="preserve">końcowy (2023 r.) </w:t>
      </w:r>
      <w:r w:rsidRPr="00211D94">
        <w:rPr>
          <w:rFonts w:cs="Arial"/>
          <w:szCs w:val="24"/>
        </w:rPr>
        <w:t>został osiągnięty na poziomie 13</w:t>
      </w:r>
      <w:r w:rsidR="00045449" w:rsidRPr="00211D94">
        <w:rPr>
          <w:rFonts w:cs="Arial"/>
          <w:szCs w:val="24"/>
        </w:rPr>
        <w:t>5,0</w:t>
      </w:r>
      <w:r w:rsidRPr="00211D94">
        <w:rPr>
          <w:rFonts w:cs="Arial"/>
          <w:szCs w:val="24"/>
        </w:rPr>
        <w:t>%</w:t>
      </w:r>
      <w:r w:rsidR="00976544" w:rsidRPr="00211D94">
        <w:rPr>
          <w:rFonts w:cs="Arial"/>
          <w:szCs w:val="24"/>
        </w:rPr>
        <w:t>.</w:t>
      </w:r>
      <w:r w:rsidR="00045449" w:rsidRPr="00211D94">
        <w:rPr>
          <w:rFonts w:cs="Arial"/>
          <w:szCs w:val="24"/>
        </w:rPr>
        <w:t xml:space="preserve"> </w:t>
      </w:r>
      <w:r w:rsidR="00A51349" w:rsidRPr="00211D94">
        <w:rPr>
          <w:rFonts w:cs="Arial"/>
          <w:szCs w:val="24"/>
        </w:rPr>
        <w:t>Wskaźnik finansowy obejmuje wydatki kwalifikowalne przekazane do KE.</w:t>
      </w:r>
    </w:p>
    <w:p w14:paraId="404569D7" w14:textId="1EBDDEFA" w:rsidR="00B95A93" w:rsidRPr="00211D94" w:rsidRDefault="007D0568" w:rsidP="00F55865">
      <w:pPr>
        <w:pStyle w:val="Akapitzlist"/>
        <w:spacing w:before="120" w:after="120" w:line="276" w:lineRule="auto"/>
        <w:ind w:left="0"/>
        <w:contextualSpacing w:val="0"/>
        <w:rPr>
          <w:rFonts w:cs="Arial"/>
          <w:szCs w:val="24"/>
        </w:rPr>
      </w:pPr>
      <w:r w:rsidRPr="00211D94">
        <w:rPr>
          <w:rFonts w:cs="Arial"/>
          <w:szCs w:val="24"/>
        </w:rPr>
        <w:t xml:space="preserve">W ramach OP8 realizowane </w:t>
      </w:r>
      <w:r w:rsidR="00D81771" w:rsidRPr="00211D94">
        <w:rPr>
          <w:rFonts w:cs="Arial"/>
          <w:szCs w:val="24"/>
        </w:rPr>
        <w:t>były</w:t>
      </w:r>
      <w:r w:rsidRPr="00211D94">
        <w:rPr>
          <w:rFonts w:cs="Arial"/>
          <w:szCs w:val="24"/>
        </w:rPr>
        <w:t xml:space="preserve"> </w:t>
      </w:r>
      <w:r w:rsidRPr="00211D94">
        <w:rPr>
          <w:rFonts w:cs="Arial"/>
          <w:b/>
          <w:szCs w:val="24"/>
        </w:rPr>
        <w:t>kompleksowe przedsięwzięcia rewitalizacyjne</w:t>
      </w:r>
      <w:r w:rsidR="00F21B81" w:rsidRPr="00211D94">
        <w:rPr>
          <w:rFonts w:cs="Arial"/>
          <w:b/>
          <w:szCs w:val="24"/>
        </w:rPr>
        <w:t xml:space="preserve"> </w:t>
      </w:r>
      <w:r w:rsidR="00F21B81" w:rsidRPr="00211D94">
        <w:rPr>
          <w:rFonts w:cs="Arial"/>
          <w:szCs w:val="24"/>
        </w:rPr>
        <w:t>(PI 9b)</w:t>
      </w:r>
      <w:r w:rsidRPr="00211D94">
        <w:rPr>
          <w:rFonts w:cs="Arial"/>
          <w:szCs w:val="24"/>
        </w:rPr>
        <w:t xml:space="preserve"> </w:t>
      </w:r>
      <w:r w:rsidR="007A262C" w:rsidRPr="00211D94">
        <w:rPr>
          <w:rFonts w:cs="Arial"/>
          <w:szCs w:val="24"/>
        </w:rPr>
        <w:t>na zdegradowanych obszarach miejskich</w:t>
      </w:r>
      <w:r w:rsidRPr="00211D94">
        <w:rPr>
          <w:rFonts w:cs="Arial"/>
          <w:szCs w:val="24"/>
        </w:rPr>
        <w:t>, których charakter wymagał wielowątkowych i przez to czasochłonnych przygotowań ze strony miast, z udziałem IZ RPO. Zgodnie z podejściem do rewitalizacji przyjętym w RPO WP, w celu zapewnienia najwyższej jakości i najlepszych efektów tego procesu, konieczne było zarówno wyznaczenie obszarów rewitalizacji, opracowanie programów rewitalizacji z udziałem mieszkańców, jak i uzgodnienie pomiędzy miastami a IZ RPO zakresów projektów zintegrowanych, które mogły ubiegać się o dofinansowanie.</w:t>
      </w:r>
      <w:r w:rsidR="00047762" w:rsidRPr="00211D94">
        <w:rPr>
          <w:rFonts w:cs="Arial"/>
          <w:szCs w:val="24"/>
        </w:rPr>
        <w:t xml:space="preserve"> </w:t>
      </w:r>
      <w:r w:rsidRPr="00211D94">
        <w:rPr>
          <w:rFonts w:cs="Arial"/>
          <w:szCs w:val="24"/>
        </w:rPr>
        <w:t>Na każdy projekt zintegrowany składa</w:t>
      </w:r>
      <w:r w:rsidR="00F21B81" w:rsidRPr="00211D94">
        <w:rPr>
          <w:rFonts w:cs="Arial"/>
          <w:szCs w:val="24"/>
        </w:rPr>
        <w:t>ły</w:t>
      </w:r>
      <w:r w:rsidRPr="00211D94">
        <w:rPr>
          <w:rFonts w:cs="Arial"/>
          <w:szCs w:val="24"/>
        </w:rPr>
        <w:t xml:space="preserve"> się projekty: infrastrukturalny – realizowany w ramach OP8, współfinansowany ze środków EFRR oraz nieinfrastrukturalny – realizowany w ramach OP6, współfinansowany ze środków EFS. </w:t>
      </w:r>
      <w:r w:rsidR="00047762" w:rsidRPr="00211D94">
        <w:rPr>
          <w:rFonts w:cs="Arial"/>
          <w:szCs w:val="24"/>
        </w:rPr>
        <w:t>Ł</w:t>
      </w:r>
      <w:r w:rsidRPr="00211D94">
        <w:rPr>
          <w:rFonts w:cs="Arial"/>
          <w:szCs w:val="24"/>
        </w:rPr>
        <w:t>ącznie obejm</w:t>
      </w:r>
      <w:r w:rsidR="00F21B81" w:rsidRPr="00211D94">
        <w:rPr>
          <w:rFonts w:cs="Arial"/>
          <w:szCs w:val="24"/>
        </w:rPr>
        <w:t>owały</w:t>
      </w:r>
      <w:r w:rsidRPr="00211D94">
        <w:rPr>
          <w:rFonts w:cs="Arial"/>
          <w:szCs w:val="24"/>
        </w:rPr>
        <w:t xml:space="preserve"> </w:t>
      </w:r>
      <w:r w:rsidR="00047762" w:rsidRPr="00211D94">
        <w:rPr>
          <w:rFonts w:cs="Arial"/>
          <w:szCs w:val="24"/>
        </w:rPr>
        <w:t xml:space="preserve">one </w:t>
      </w:r>
      <w:r w:rsidRPr="00211D94">
        <w:rPr>
          <w:rFonts w:cs="Arial"/>
          <w:szCs w:val="24"/>
        </w:rPr>
        <w:t>realizację kompleksowego przedsięwzięcia mającego na celu rewitalizację obszaru zdegradowanego w mieście, łączącą w sobie działania społeczne i uzupełniające inwestycje w infrastrukturę.</w:t>
      </w:r>
    </w:p>
    <w:p w14:paraId="3766C87E" w14:textId="025CE4EB" w:rsidR="00B95A93" w:rsidRPr="00211D94" w:rsidRDefault="00B95A93" w:rsidP="00F55865">
      <w:pPr>
        <w:spacing w:before="120" w:after="120"/>
        <w:rPr>
          <w:rFonts w:cs="Arial"/>
          <w:szCs w:val="24"/>
        </w:rPr>
      </w:pPr>
      <w:r w:rsidRPr="00211D94">
        <w:rPr>
          <w:rFonts w:cs="Arial"/>
          <w:szCs w:val="24"/>
        </w:rPr>
        <w:t xml:space="preserve">Każdy projekt obejmował szeroki zakres kompleksowych zadań, których realizacja miała pozwolić na wyprowadzenie danego obszaru ze stanu kryzysowego. </w:t>
      </w:r>
      <w:r w:rsidR="00180555" w:rsidRPr="00211D94">
        <w:rPr>
          <w:rFonts w:cs="Arial"/>
          <w:szCs w:val="24"/>
        </w:rPr>
        <w:t>Op</w:t>
      </w:r>
      <w:r w:rsidRPr="00211D94">
        <w:rPr>
          <w:rFonts w:cs="Arial"/>
          <w:szCs w:val="24"/>
        </w:rPr>
        <w:t>rócz wparcia ukierunkowanego na integrację społeczno-zawodową mieszkańców, przeprowadzane były adaptacje budynków na działania społeczne, remonty elementów wspólnych w wielorodzinnych budynkach mieszkalnych, zagospodarowanie lokalnych przestrzeni publicznych i półpublicznych, budowa, przebudowa infrastruktury komunalnej, w tym drogi, ścieżki rowerowe, zagospodarowywanie podwórek wspólnie z mieszkańcami.</w:t>
      </w:r>
    </w:p>
    <w:p w14:paraId="3612C317" w14:textId="706CA31E" w:rsidR="00B95A93" w:rsidRPr="00211D94" w:rsidRDefault="00B95A93" w:rsidP="00F55865">
      <w:pPr>
        <w:spacing w:before="120" w:after="120"/>
        <w:rPr>
          <w:rFonts w:cs="Arial"/>
          <w:szCs w:val="24"/>
        </w:rPr>
      </w:pPr>
      <w:r w:rsidRPr="00211D94">
        <w:rPr>
          <w:rFonts w:cs="Arial"/>
          <w:szCs w:val="24"/>
        </w:rPr>
        <w:t xml:space="preserve">Ważnym elementem towarzyszącym działaniom o charakterze infrastrukturalnym </w:t>
      </w:r>
      <w:r w:rsidR="00F55A6C" w:rsidRPr="00211D94">
        <w:rPr>
          <w:rFonts w:cs="Arial"/>
          <w:szCs w:val="24"/>
        </w:rPr>
        <w:t>było</w:t>
      </w:r>
      <w:r w:rsidRPr="00211D94">
        <w:rPr>
          <w:rFonts w:cs="Arial"/>
          <w:szCs w:val="24"/>
        </w:rPr>
        <w:t xml:space="preserve"> włączenie środowiska lokalnego i interesariuszy w planowanie i realizację działań. Środki na ten cel zostały zapewnione w ramach instrumentu elastyczności. Podejmowane działania obejm</w:t>
      </w:r>
      <w:r w:rsidR="00F21B81" w:rsidRPr="00211D94">
        <w:rPr>
          <w:rFonts w:cs="Arial"/>
          <w:szCs w:val="24"/>
        </w:rPr>
        <w:t>owały</w:t>
      </w:r>
      <w:r w:rsidRPr="00211D94">
        <w:rPr>
          <w:rFonts w:cs="Arial"/>
          <w:szCs w:val="24"/>
        </w:rPr>
        <w:t xml:space="preserve"> m.in. opracowanie projektów i koncepcji zagospodarowania terenów zieleni i przestrzeni publicznych we współpracy z mieszkańcami, wraz z późniejszą wspólną realizacją inicjatywy, działania związane z wykorzystaniem sztuki jako elementu przestrzeni publicznej, czy prowadzenie punktu konsultacyjnego o rewitalizacji.</w:t>
      </w:r>
    </w:p>
    <w:p w14:paraId="31B7D6A1" w14:textId="6C198873" w:rsidR="00B95A93" w:rsidRPr="00211D94" w:rsidRDefault="00047762" w:rsidP="00F55865">
      <w:pPr>
        <w:pStyle w:val="Akapitzlist"/>
        <w:spacing w:before="120" w:after="120" w:line="276" w:lineRule="auto"/>
        <w:ind w:left="0"/>
        <w:contextualSpacing w:val="0"/>
        <w:rPr>
          <w:rFonts w:cs="Arial"/>
          <w:szCs w:val="24"/>
        </w:rPr>
      </w:pPr>
      <w:r w:rsidRPr="00211D94">
        <w:rPr>
          <w:rFonts w:cs="Arial"/>
          <w:szCs w:val="24"/>
        </w:rPr>
        <w:t>D</w:t>
      </w:r>
      <w:r w:rsidR="00B95A93" w:rsidRPr="00211D94">
        <w:rPr>
          <w:rFonts w:cs="Arial"/>
          <w:szCs w:val="24"/>
        </w:rPr>
        <w:t>ofinansowanie otrzymało </w:t>
      </w:r>
      <w:r w:rsidR="00B95A93" w:rsidRPr="00211D94">
        <w:rPr>
          <w:rFonts w:cs="Arial"/>
          <w:bCs/>
          <w:szCs w:val="24"/>
        </w:rPr>
        <w:t>2</w:t>
      </w:r>
      <w:r w:rsidR="003D6241" w:rsidRPr="00211D94">
        <w:rPr>
          <w:rFonts w:cs="Arial"/>
          <w:bCs/>
          <w:szCs w:val="24"/>
        </w:rPr>
        <w:t>7</w:t>
      </w:r>
      <w:r w:rsidR="00B95A93" w:rsidRPr="00211D94">
        <w:rPr>
          <w:rFonts w:cs="Arial"/>
          <w:bCs/>
          <w:szCs w:val="24"/>
        </w:rPr>
        <w:t xml:space="preserve"> miast</w:t>
      </w:r>
      <w:r w:rsidR="00B95A93" w:rsidRPr="00211D94">
        <w:rPr>
          <w:rFonts w:cs="Arial"/>
          <w:szCs w:val="24"/>
        </w:rPr>
        <w:t> realizujących łącznie </w:t>
      </w:r>
      <w:r w:rsidR="00B95A93" w:rsidRPr="00211D94">
        <w:rPr>
          <w:rFonts w:cs="Arial"/>
          <w:bCs/>
          <w:szCs w:val="24"/>
        </w:rPr>
        <w:t>3</w:t>
      </w:r>
      <w:r w:rsidR="003D6241" w:rsidRPr="00211D94">
        <w:rPr>
          <w:rFonts w:cs="Arial"/>
          <w:bCs/>
          <w:szCs w:val="24"/>
        </w:rPr>
        <w:t>2</w:t>
      </w:r>
      <w:r w:rsidR="00B95A93" w:rsidRPr="00211D94">
        <w:rPr>
          <w:rFonts w:cs="Arial"/>
          <w:bCs/>
          <w:szCs w:val="24"/>
        </w:rPr>
        <w:t xml:space="preserve"> projekt</w:t>
      </w:r>
      <w:r w:rsidR="003D6241" w:rsidRPr="00211D94">
        <w:rPr>
          <w:rFonts w:cs="Arial"/>
          <w:bCs/>
          <w:szCs w:val="24"/>
        </w:rPr>
        <w:t xml:space="preserve">y </w:t>
      </w:r>
      <w:r w:rsidR="00B95A93" w:rsidRPr="00211D94">
        <w:rPr>
          <w:rFonts w:cs="Arial"/>
          <w:bCs/>
          <w:szCs w:val="24"/>
        </w:rPr>
        <w:t>zintegrowan</w:t>
      </w:r>
      <w:r w:rsidR="003D6241" w:rsidRPr="00211D94">
        <w:rPr>
          <w:rFonts w:cs="Arial"/>
          <w:bCs/>
          <w:szCs w:val="24"/>
        </w:rPr>
        <w:t>e</w:t>
      </w:r>
      <w:r w:rsidR="00B95A93" w:rsidRPr="00211D94">
        <w:rPr>
          <w:rFonts w:cs="Arial"/>
          <w:szCs w:val="24"/>
        </w:rPr>
        <w:t>, w tym:</w:t>
      </w:r>
    </w:p>
    <w:p w14:paraId="0FACF74D" w14:textId="77777777" w:rsidR="00F21B81" w:rsidRPr="00211D94" w:rsidRDefault="00B95A93" w:rsidP="00F21B81">
      <w:pPr>
        <w:pStyle w:val="Akapitzlist"/>
        <w:numPr>
          <w:ilvl w:val="0"/>
          <w:numId w:val="60"/>
        </w:numPr>
        <w:spacing w:before="120" w:after="120" w:line="276" w:lineRule="auto"/>
        <w:rPr>
          <w:rFonts w:cs="Arial"/>
          <w:szCs w:val="24"/>
        </w:rPr>
      </w:pPr>
      <w:r w:rsidRPr="00211D94">
        <w:rPr>
          <w:rFonts w:cs="Arial"/>
          <w:szCs w:val="24"/>
        </w:rPr>
        <w:t>8 miast z Obszaru Metropolitalnego Trójmiasta w trybie pozakonkursowym na realizację 13 projektów zintegrowanych,</w:t>
      </w:r>
    </w:p>
    <w:p w14:paraId="39982F75" w14:textId="1EE900C8" w:rsidR="00B95A93" w:rsidRPr="00211D94" w:rsidRDefault="00F21B81" w:rsidP="00F21B81">
      <w:pPr>
        <w:pStyle w:val="Akapitzlist"/>
        <w:numPr>
          <w:ilvl w:val="0"/>
          <w:numId w:val="60"/>
        </w:numPr>
        <w:spacing w:before="120" w:after="120" w:line="276" w:lineRule="auto"/>
        <w:rPr>
          <w:rFonts w:cs="Arial"/>
          <w:szCs w:val="24"/>
        </w:rPr>
      </w:pPr>
      <w:r w:rsidRPr="00211D94">
        <w:rPr>
          <w:rFonts w:cs="Arial"/>
          <w:szCs w:val="24"/>
        </w:rPr>
        <w:t>1</w:t>
      </w:r>
      <w:r w:rsidR="003D6241" w:rsidRPr="00211D94">
        <w:rPr>
          <w:rFonts w:cs="Arial"/>
          <w:szCs w:val="24"/>
        </w:rPr>
        <w:t>9</w:t>
      </w:r>
      <w:r w:rsidR="00B95A93" w:rsidRPr="00211D94">
        <w:rPr>
          <w:rFonts w:cs="Arial"/>
          <w:szCs w:val="24"/>
        </w:rPr>
        <w:t xml:space="preserve"> miast poza Obszarem Metropolitalnym Trójmiasta w trybie konkursowym na realizację 1</w:t>
      </w:r>
      <w:r w:rsidR="00F55A6C" w:rsidRPr="00211D94">
        <w:rPr>
          <w:rFonts w:cs="Arial"/>
          <w:szCs w:val="24"/>
        </w:rPr>
        <w:t>9</w:t>
      </w:r>
      <w:r w:rsidR="00B95A93" w:rsidRPr="00211D94">
        <w:rPr>
          <w:rFonts w:cs="Arial"/>
          <w:szCs w:val="24"/>
        </w:rPr>
        <w:t xml:space="preserve"> projektów zintegrowanych.</w:t>
      </w:r>
    </w:p>
    <w:p w14:paraId="5E14B99D" w14:textId="326B9578" w:rsidR="005A19DB" w:rsidRPr="00211D94" w:rsidRDefault="00B95A93" w:rsidP="00F55865">
      <w:pPr>
        <w:spacing w:before="120" w:after="120"/>
        <w:rPr>
          <w:rFonts w:cs="Arial"/>
          <w:szCs w:val="24"/>
        </w:rPr>
      </w:pPr>
      <w:r w:rsidRPr="00211D94">
        <w:rPr>
          <w:rFonts w:cs="Arial"/>
          <w:szCs w:val="24"/>
        </w:rPr>
        <w:t>Z</w:t>
      </w:r>
      <w:r w:rsidR="007D0568" w:rsidRPr="00211D94">
        <w:rPr>
          <w:rFonts w:cs="Arial"/>
          <w:szCs w:val="24"/>
        </w:rPr>
        <w:t xml:space="preserve">e względu na długotrwały proces przygotowań i wieloletni charakter projektów rewitalizacyjnych, ich realizacja </w:t>
      </w:r>
      <w:r w:rsidRPr="00211D94">
        <w:rPr>
          <w:rFonts w:cs="Arial"/>
          <w:szCs w:val="24"/>
        </w:rPr>
        <w:t xml:space="preserve">była </w:t>
      </w:r>
      <w:r w:rsidR="007D0568" w:rsidRPr="00211D94">
        <w:rPr>
          <w:rFonts w:cs="Arial"/>
          <w:szCs w:val="24"/>
        </w:rPr>
        <w:t xml:space="preserve">rozciągnięta aż do 2023 roku, </w:t>
      </w:r>
      <w:r w:rsidRPr="00211D94">
        <w:rPr>
          <w:rFonts w:cs="Arial"/>
          <w:szCs w:val="24"/>
        </w:rPr>
        <w:t xml:space="preserve">natomiast dwa projekty </w:t>
      </w:r>
      <w:r w:rsidR="004167FF" w:rsidRPr="00211D94">
        <w:rPr>
          <w:rFonts w:cs="Arial"/>
          <w:szCs w:val="24"/>
        </w:rPr>
        <w:t>(</w:t>
      </w:r>
      <w:r w:rsidR="003B5EF9" w:rsidRPr="00211D94">
        <w:rPr>
          <w:rFonts w:cs="Arial"/>
          <w:szCs w:val="24"/>
        </w:rPr>
        <w:t>„</w:t>
      </w:r>
      <w:r w:rsidR="004167FF" w:rsidRPr="00211D94">
        <w:rPr>
          <w:rFonts w:cs="Arial"/>
          <w:szCs w:val="24"/>
        </w:rPr>
        <w:t>Rewitalizacja Dolnego Miasta i Placu Wałowego wraz ze Starym Przedmieściem w Gdańsku</w:t>
      </w:r>
      <w:r w:rsidR="003B5EF9" w:rsidRPr="00211D94">
        <w:rPr>
          <w:rFonts w:cs="Arial"/>
          <w:szCs w:val="24"/>
        </w:rPr>
        <w:t>”</w:t>
      </w:r>
      <w:r w:rsidR="004167FF" w:rsidRPr="00211D94">
        <w:rPr>
          <w:rFonts w:cs="Arial"/>
          <w:szCs w:val="24"/>
        </w:rPr>
        <w:t xml:space="preserve"> oraz </w:t>
      </w:r>
      <w:r w:rsidR="003B5EF9" w:rsidRPr="00211D94">
        <w:rPr>
          <w:rFonts w:cs="Arial"/>
          <w:szCs w:val="24"/>
        </w:rPr>
        <w:t>„</w:t>
      </w:r>
      <w:r w:rsidR="004167FF" w:rsidRPr="00211D94">
        <w:rPr>
          <w:rFonts w:cs="Arial"/>
          <w:szCs w:val="24"/>
        </w:rPr>
        <w:t>Rewitalizacja Oruni w Gdańsku</w:t>
      </w:r>
      <w:r w:rsidR="003B5EF9" w:rsidRPr="00211D94">
        <w:rPr>
          <w:rFonts w:cs="Arial"/>
          <w:szCs w:val="24"/>
        </w:rPr>
        <w:t>”</w:t>
      </w:r>
      <w:r w:rsidR="004167FF" w:rsidRPr="00211D94">
        <w:rPr>
          <w:rFonts w:cs="Arial"/>
          <w:szCs w:val="24"/>
        </w:rPr>
        <w:t xml:space="preserve">) </w:t>
      </w:r>
      <w:r w:rsidRPr="00211D94">
        <w:rPr>
          <w:rFonts w:cs="Arial"/>
          <w:szCs w:val="24"/>
        </w:rPr>
        <w:t xml:space="preserve">otrzymały status </w:t>
      </w:r>
      <w:r w:rsidR="00287A06" w:rsidRPr="00211D94">
        <w:rPr>
          <w:rFonts w:cs="Arial"/>
          <w:szCs w:val="24"/>
        </w:rPr>
        <w:t>projektów fazowanych</w:t>
      </w:r>
      <w:r w:rsidR="00C8723A" w:rsidRPr="00211D94">
        <w:rPr>
          <w:rFonts w:cs="Arial"/>
          <w:szCs w:val="24"/>
        </w:rPr>
        <w:t>,</w:t>
      </w:r>
      <w:r w:rsidR="00287A06" w:rsidRPr="00211D94">
        <w:t xml:space="preserve"> </w:t>
      </w:r>
      <w:r w:rsidR="00287A06" w:rsidRPr="00211D94">
        <w:rPr>
          <w:rFonts w:cs="Arial"/>
          <w:szCs w:val="24"/>
        </w:rPr>
        <w:t>co umożliwia kontynuację projektu rozpoczętego w okresie programowania 2014-2020 z alokacji okresu programowania 2021-2027</w:t>
      </w:r>
      <w:r w:rsidR="00FA040B" w:rsidRPr="00211D94">
        <w:rPr>
          <w:rFonts w:cs="Arial"/>
          <w:szCs w:val="24"/>
        </w:rPr>
        <w:t xml:space="preserve"> </w:t>
      </w:r>
      <w:r w:rsidR="000A6AF5" w:rsidRPr="00211D94">
        <w:rPr>
          <w:rFonts w:cs="Arial"/>
          <w:szCs w:val="24"/>
        </w:rPr>
        <w:t xml:space="preserve">- </w:t>
      </w:r>
      <w:r w:rsidRPr="00211D94">
        <w:rPr>
          <w:rFonts w:cs="Arial"/>
          <w:szCs w:val="24"/>
        </w:rPr>
        <w:t>szczegóły w Załączniku nr I</w:t>
      </w:r>
      <w:r w:rsidR="000A6AF5" w:rsidRPr="00211D94">
        <w:rPr>
          <w:rFonts w:cs="Arial"/>
          <w:szCs w:val="24"/>
        </w:rPr>
        <w:t xml:space="preserve"> </w:t>
      </w:r>
      <w:proofErr w:type="spellStart"/>
      <w:r w:rsidR="000A6AF5" w:rsidRPr="00211D94">
        <w:rPr>
          <w:rFonts w:cs="Arial"/>
          <w:szCs w:val="24"/>
        </w:rPr>
        <w:t>i</w:t>
      </w:r>
      <w:proofErr w:type="spellEnd"/>
      <w:r w:rsidR="000A6AF5" w:rsidRPr="00211D94">
        <w:rPr>
          <w:rFonts w:cs="Arial"/>
          <w:szCs w:val="24"/>
        </w:rPr>
        <w:t xml:space="preserve"> II </w:t>
      </w:r>
      <w:r w:rsidRPr="00211D94">
        <w:rPr>
          <w:rFonts w:cs="Arial"/>
          <w:szCs w:val="24"/>
        </w:rPr>
        <w:t xml:space="preserve">do </w:t>
      </w:r>
      <w:r w:rsidR="00345CDA" w:rsidRPr="00211D94">
        <w:rPr>
          <w:rFonts w:cs="Arial"/>
          <w:szCs w:val="24"/>
        </w:rPr>
        <w:t>sprawozdania</w:t>
      </w:r>
      <w:r w:rsidRPr="00211D94">
        <w:rPr>
          <w:rFonts w:cs="Arial"/>
          <w:szCs w:val="24"/>
        </w:rPr>
        <w:t>.</w:t>
      </w:r>
    </w:p>
    <w:p w14:paraId="28E5C89B" w14:textId="18A1ABD3" w:rsidR="007A5B97" w:rsidRPr="00211D94" w:rsidRDefault="001D282C" w:rsidP="00F55865">
      <w:pPr>
        <w:spacing w:before="120" w:after="120"/>
      </w:pPr>
      <w:r w:rsidRPr="00211D94">
        <w:rPr>
          <w:rFonts w:cs="Arial"/>
          <w:szCs w:val="24"/>
        </w:rPr>
        <w:t>Kompleksowe projekty rewitalizacyjne realizowano również z wykorzystaniem wsparcia zwrotnego w ramach Działania 8.2 (PI 9b) - trakcie jego realizacji udzielono 15 pożyczek rewitalizacyjnych. Pośrednikiem finansowym udzielającym pożyczek w ramach RPO WP był BGK, a wsparcie w realizacji przedsięwzięć zapewniała ARP.</w:t>
      </w:r>
    </w:p>
    <w:p w14:paraId="7947391C" w14:textId="321B48C4" w:rsidR="005A19DB" w:rsidRPr="00211D94" w:rsidRDefault="005A19DB" w:rsidP="00F55865">
      <w:pPr>
        <w:spacing w:before="120" w:after="120"/>
        <w:rPr>
          <w:rFonts w:cs="Arial"/>
          <w:szCs w:val="24"/>
        </w:rPr>
      </w:pPr>
      <w:r w:rsidRPr="00211D94">
        <w:rPr>
          <w:rFonts w:cs="Arial"/>
          <w:szCs w:val="24"/>
        </w:rPr>
        <w:t xml:space="preserve">W ramach badania ewaluacyjnego „Ocena wpływu interwencji w zakresie kompleksowej rewitalizacji zdegradowanych obszarów miejskich w ramach RPO WP” przeprowadzono analizę założeń i efektów wdrażania projektów rewitalizacyjnych współfinansowanych z pożyczki rewitalizacyjnej. W większości przypadków wykorzystanie środków z pożyczki pozytywnie lub bardzo pozytywnie wpłynęło na kompleksowe przekształcenia obszarów rewitalizacji. Świadczy to, co do zasady, </w:t>
      </w:r>
      <w:r w:rsidR="000169C9" w:rsidRPr="00211D94">
        <w:rPr>
          <w:rFonts w:cs="Arial"/>
          <w:szCs w:val="24"/>
        </w:rPr>
        <w:t xml:space="preserve">o </w:t>
      </w:r>
      <w:r w:rsidRPr="00211D94">
        <w:rPr>
          <w:rFonts w:cs="Arial"/>
          <w:szCs w:val="24"/>
        </w:rPr>
        <w:t xml:space="preserve">wysokiej skuteczności i efektywności </w:t>
      </w:r>
      <w:r w:rsidR="001D282C" w:rsidRPr="00211D94">
        <w:rPr>
          <w:rFonts w:cs="Arial"/>
          <w:szCs w:val="24"/>
        </w:rPr>
        <w:t>p</w:t>
      </w:r>
      <w:r w:rsidRPr="00211D94">
        <w:rPr>
          <w:rFonts w:cs="Arial"/>
          <w:szCs w:val="24"/>
        </w:rPr>
        <w:t xml:space="preserve">ożyczki rewitalizacyjnej w rewitalizacji zdegradowanych obszarów miejskich. </w:t>
      </w:r>
      <w:r w:rsidR="001D282C" w:rsidRPr="00211D94">
        <w:rPr>
          <w:rFonts w:cs="Arial"/>
          <w:szCs w:val="24"/>
        </w:rPr>
        <w:t>W</w:t>
      </w:r>
      <w:r w:rsidRPr="00211D94">
        <w:rPr>
          <w:rFonts w:cs="Arial"/>
          <w:szCs w:val="24"/>
        </w:rPr>
        <w:t>sparcie w formie instrumentu zwrotnego stanowiło istotne uzupełnienie interwencji RPO WP w formie dotacji.</w:t>
      </w:r>
    </w:p>
    <w:p w14:paraId="25F58F0A" w14:textId="59AC5279" w:rsidR="00C8470F" w:rsidRPr="00211D94" w:rsidRDefault="00CD42FC" w:rsidP="00F55865">
      <w:pPr>
        <w:spacing w:before="120" w:after="120"/>
        <w:rPr>
          <w:rFonts w:cs="Arial"/>
          <w:szCs w:val="24"/>
        </w:rPr>
      </w:pPr>
      <w:r w:rsidRPr="00211D94">
        <w:rPr>
          <w:rFonts w:cs="Arial"/>
          <w:szCs w:val="24"/>
        </w:rPr>
        <w:t>Celem szczegółowym Działania 8.1 oraz 8.2 było zwiększenie aktywności społecznej i gospodarczej mieszkańców zdegradowanych obszarów miejskich. Kluczowymi miarami w tym zakresie pozostały</w:t>
      </w:r>
      <w:r w:rsidR="00C8470F" w:rsidRPr="00211D94">
        <w:rPr>
          <w:rFonts w:cs="Arial"/>
          <w:szCs w:val="24"/>
        </w:rPr>
        <w:t>:</w:t>
      </w:r>
    </w:p>
    <w:p w14:paraId="5F8A5D80" w14:textId="77777777" w:rsidR="00C8470F" w:rsidRPr="00211D94" w:rsidRDefault="00C8470F" w:rsidP="00C8470F">
      <w:pPr>
        <w:pStyle w:val="Akapitzlist"/>
        <w:numPr>
          <w:ilvl w:val="0"/>
          <w:numId w:val="71"/>
        </w:numPr>
        <w:spacing w:before="120" w:after="120"/>
        <w:rPr>
          <w:rFonts w:cs="Arial"/>
          <w:szCs w:val="24"/>
        </w:rPr>
      </w:pPr>
      <w:r w:rsidRPr="00211D94">
        <w:rPr>
          <w:rFonts w:cs="Arial"/>
          <w:szCs w:val="24"/>
        </w:rPr>
        <w:t>l</w:t>
      </w:r>
      <w:r w:rsidR="00CD42FC" w:rsidRPr="00211D94">
        <w:rPr>
          <w:rFonts w:cs="Arial"/>
          <w:szCs w:val="24"/>
        </w:rPr>
        <w:t>iczba mieszkańców zamieszkujących obszar objęty rewitalizacją – liczona w ramach Działania 8.1 wyniosła 1 314 045 osób (129,7% wartości docelowej) oraz</w:t>
      </w:r>
    </w:p>
    <w:p w14:paraId="5E39C0FF" w14:textId="5A31EA5D" w:rsidR="00CD42FC" w:rsidRPr="00211D94" w:rsidRDefault="00CD42FC" w:rsidP="00C8470F">
      <w:pPr>
        <w:pStyle w:val="Akapitzlist"/>
        <w:numPr>
          <w:ilvl w:val="0"/>
          <w:numId w:val="71"/>
        </w:numPr>
        <w:spacing w:before="120" w:after="120"/>
        <w:rPr>
          <w:rFonts w:cs="Arial"/>
          <w:szCs w:val="24"/>
        </w:rPr>
      </w:pPr>
      <w:r w:rsidRPr="00211D94">
        <w:rPr>
          <w:rFonts w:cs="Arial"/>
          <w:szCs w:val="24"/>
        </w:rPr>
        <w:t xml:space="preserve">powierzchnia rewitalizowanych terenów - dla Działania 8.1 i 8.2 wsparto łącznie 3 234,9 ha obszarów objętych rewitalizacją (161,7% wartości docelowej). </w:t>
      </w:r>
    </w:p>
    <w:p w14:paraId="6A8D35D4" w14:textId="047444B2" w:rsidR="00C70E71" w:rsidRPr="00211D94" w:rsidRDefault="007D0568" w:rsidP="00F55865">
      <w:pPr>
        <w:tabs>
          <w:tab w:val="left" w:pos="432"/>
        </w:tabs>
        <w:spacing w:before="120" w:after="120"/>
        <w:rPr>
          <w:rFonts w:cs="Arial"/>
          <w:szCs w:val="24"/>
        </w:rPr>
      </w:pPr>
      <w:r w:rsidRPr="00211D94">
        <w:rPr>
          <w:rFonts w:cs="Arial"/>
          <w:szCs w:val="24"/>
        </w:rPr>
        <w:t xml:space="preserve">W ramach Działania 8.3 </w:t>
      </w:r>
      <w:r w:rsidR="003B5EF9" w:rsidRPr="00211D94">
        <w:rPr>
          <w:rFonts w:cs="Arial"/>
          <w:szCs w:val="24"/>
        </w:rPr>
        <w:t>„</w:t>
      </w:r>
      <w:r w:rsidRPr="00211D94">
        <w:rPr>
          <w:rFonts w:cs="Arial"/>
          <w:szCs w:val="24"/>
        </w:rPr>
        <w:t>Materialne i niematerialne dziedzictwo kulturowe</w:t>
      </w:r>
      <w:r w:rsidR="003B5EF9" w:rsidRPr="00211D94">
        <w:rPr>
          <w:rFonts w:cs="Arial"/>
          <w:szCs w:val="24"/>
        </w:rPr>
        <w:t>”</w:t>
      </w:r>
      <w:r w:rsidRPr="00211D94">
        <w:rPr>
          <w:rFonts w:cs="Arial"/>
          <w:szCs w:val="24"/>
        </w:rPr>
        <w:t xml:space="preserve"> (PI 6c) wsparto 19 projektów</w:t>
      </w:r>
      <w:r w:rsidR="00E13F02" w:rsidRPr="00211D94">
        <w:rPr>
          <w:rFonts w:cs="Arial"/>
          <w:szCs w:val="24"/>
        </w:rPr>
        <w:t>, które koncentr</w:t>
      </w:r>
      <w:r w:rsidR="00C8470F" w:rsidRPr="00211D94">
        <w:rPr>
          <w:rFonts w:cs="Arial"/>
          <w:szCs w:val="24"/>
        </w:rPr>
        <w:t>owały</w:t>
      </w:r>
      <w:r w:rsidR="00E13F02" w:rsidRPr="00211D94">
        <w:rPr>
          <w:rFonts w:cs="Arial"/>
          <w:szCs w:val="24"/>
        </w:rPr>
        <w:t xml:space="preserve"> się na prowadzeniu punktowych inwestycji: modernizacji budynków już użytkowanych na potrzeby działań kulturalnych</w:t>
      </w:r>
      <w:r w:rsidR="00490AD1" w:rsidRPr="00211D94">
        <w:rPr>
          <w:rFonts w:cs="Arial"/>
          <w:szCs w:val="24"/>
        </w:rPr>
        <w:t>,</w:t>
      </w:r>
      <w:r w:rsidR="00E13F02" w:rsidRPr="00211D94">
        <w:rPr>
          <w:rFonts w:cs="Arial"/>
          <w:szCs w:val="24"/>
        </w:rPr>
        <w:t xml:space="preserve"> ochronie zabytków niszczejących oraz adaptacji budynków nieużywanych.</w:t>
      </w:r>
      <w:r w:rsidR="001D282C" w:rsidRPr="00211D94">
        <w:rPr>
          <w:rFonts w:cs="Arial"/>
          <w:szCs w:val="24"/>
        </w:rPr>
        <w:t xml:space="preserve"> </w:t>
      </w:r>
      <w:r w:rsidR="00490AD1" w:rsidRPr="00211D94">
        <w:rPr>
          <w:rFonts w:cs="Arial"/>
          <w:szCs w:val="24"/>
        </w:rPr>
        <w:t xml:space="preserve">Realizacja tych projektów doprowadziła do ożywienia ruchu turystycznego na obszarach, które wcześniej nie pełniły roli kulturotwórczej. Przykładami tego typu inwestycji są projekty Gdyńskiego Centrum Kultury, Muzeum Pomorza Środkowego w Słupsku oraz miasta Sopot. Wszystkie trzy projekty pozwoliły na adaptację na cele kulturalne wcześniej niewykorzystywanych budynków w atrakcyjnych, lecz zaniedbanych lokalizacjach w centrach miast. </w:t>
      </w:r>
      <w:r w:rsidR="00C70E71" w:rsidRPr="00211D94">
        <w:rPr>
          <w:rFonts w:cs="Arial"/>
          <w:szCs w:val="24"/>
        </w:rPr>
        <w:t>W ramach interwencji wsparciem zostało objętych 50 obiektów zasobów kultury (125% wartości docelowej).</w:t>
      </w:r>
    </w:p>
    <w:p w14:paraId="05889DB2" w14:textId="0D68A373" w:rsidR="003D702A" w:rsidRPr="00211D94" w:rsidRDefault="007D0568" w:rsidP="00F55865">
      <w:pPr>
        <w:pStyle w:val="Akapitzlist"/>
        <w:spacing w:before="120" w:after="120" w:line="276" w:lineRule="auto"/>
        <w:ind w:left="0"/>
        <w:contextualSpacing w:val="0"/>
        <w:rPr>
          <w:rFonts w:cs="Arial"/>
          <w:szCs w:val="24"/>
        </w:rPr>
      </w:pPr>
      <w:r w:rsidRPr="00211D94">
        <w:rPr>
          <w:rFonts w:cs="Arial"/>
          <w:szCs w:val="24"/>
        </w:rPr>
        <w:t>Działanie 8.4</w:t>
      </w:r>
      <w:r w:rsidR="008E54B7"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Wsparcie atrakcyjności walorów dziedzictwa przyrodniczego</w:t>
      </w:r>
      <w:r w:rsidR="003B5EF9" w:rsidRPr="00211D94">
        <w:rPr>
          <w:rFonts w:cs="Arial"/>
          <w:szCs w:val="24"/>
        </w:rPr>
        <w:t>”</w:t>
      </w:r>
      <w:r w:rsidRPr="00211D94">
        <w:rPr>
          <w:rFonts w:cs="Arial"/>
          <w:szCs w:val="24"/>
        </w:rPr>
        <w:t xml:space="preserve"> (PI 6c), dedykowane </w:t>
      </w:r>
      <w:r w:rsidR="0084314E" w:rsidRPr="00211D94">
        <w:rPr>
          <w:rFonts w:cs="Arial"/>
          <w:szCs w:val="24"/>
        </w:rPr>
        <w:t>było</w:t>
      </w:r>
      <w:r w:rsidRPr="00211D94">
        <w:rPr>
          <w:rFonts w:cs="Arial"/>
          <w:szCs w:val="24"/>
        </w:rPr>
        <w:t xml:space="preserve"> projektom składającym się na trzy przedsięwzięcia strategiczne: „Pomorskie Szlaki Kajakowe", „Rozwój oferty turystyki wodnej w obszarze Pętli Żuławskiej i Zatoki Gdańskiej" i „Pomorskie trasy rowerowe o znaczeniu międzynarodowym R-10 i Wiślana Trasa Rowerowa R-9". </w:t>
      </w:r>
      <w:r w:rsidR="003D702A" w:rsidRPr="00211D94">
        <w:rPr>
          <w:rFonts w:cs="Arial"/>
          <w:szCs w:val="24"/>
        </w:rPr>
        <w:t xml:space="preserve">Wsparto 53 projekty, </w:t>
      </w:r>
      <w:r w:rsidRPr="00211D94">
        <w:rPr>
          <w:rFonts w:cs="Arial"/>
          <w:szCs w:val="24"/>
        </w:rPr>
        <w:t xml:space="preserve">które łącznie </w:t>
      </w:r>
      <w:r w:rsidR="003D702A" w:rsidRPr="00211D94">
        <w:rPr>
          <w:rFonts w:cs="Arial"/>
          <w:szCs w:val="24"/>
        </w:rPr>
        <w:t>zrealizowały</w:t>
      </w:r>
      <w:r w:rsidRPr="00211D94">
        <w:rPr>
          <w:rFonts w:cs="Arial"/>
          <w:szCs w:val="24"/>
        </w:rPr>
        <w:t xml:space="preserve"> zakresy rzeczowe wszystkich trzech ww. przedsięwzięć strategicznych</w:t>
      </w:r>
      <w:r w:rsidR="003D702A" w:rsidRPr="00211D94">
        <w:rPr>
          <w:rFonts w:cs="Arial"/>
          <w:szCs w:val="24"/>
        </w:rPr>
        <w:t>. W ramach Działania 8.4 zostało odnowionych 1 818,6 km szlaków</w:t>
      </w:r>
      <w:r w:rsidR="00AC4E02" w:rsidRPr="00211D94">
        <w:rPr>
          <w:rFonts w:cs="Arial"/>
          <w:szCs w:val="24"/>
        </w:rPr>
        <w:t xml:space="preserve"> turystycznych (121,2% wartości docelowej).</w:t>
      </w:r>
    </w:p>
    <w:p w14:paraId="2B4AA10C" w14:textId="16071FAD" w:rsidR="007D0568" w:rsidRPr="00211D94" w:rsidRDefault="003D702A" w:rsidP="00F55865">
      <w:pPr>
        <w:pStyle w:val="Akapitzlist"/>
        <w:spacing w:before="120" w:after="120" w:line="276" w:lineRule="auto"/>
        <w:ind w:left="0"/>
        <w:contextualSpacing w:val="0"/>
        <w:rPr>
          <w:rFonts w:cs="Arial"/>
          <w:szCs w:val="24"/>
        </w:rPr>
      </w:pPr>
      <w:r w:rsidRPr="00211D94">
        <w:rPr>
          <w:rFonts w:cs="Arial"/>
          <w:szCs w:val="24"/>
        </w:rPr>
        <w:t>Pozytywnie należy ocenić fakt, że niemal wszystkie inwestycje</w:t>
      </w:r>
      <w:r w:rsidR="00C8470F" w:rsidRPr="00211D94">
        <w:rPr>
          <w:rFonts w:cs="Arial"/>
          <w:szCs w:val="24"/>
        </w:rPr>
        <w:t xml:space="preserve"> w Działaniu 8.4</w:t>
      </w:r>
      <w:r w:rsidRPr="00211D94">
        <w:rPr>
          <w:rFonts w:cs="Arial"/>
          <w:szCs w:val="24"/>
        </w:rPr>
        <w:t xml:space="preserve"> wpisywały się w zastosowane w RPO WP preferencje projektowe. Projekty były realizowane na obszarach cennych przyrodniczo z przewagą NATURA 2000, wszystkie realizowały cele SUERMB, przygotowane zostały w oparciu o podejście oddolne. Decydowała o tym formuła przedsięwzięć strategicznych i wieloetapowego wyznaczania tras i szlaków możliwych do objęcia wsparciem w ramach RPO WP, co warunkowało lokalizację projektów.</w:t>
      </w:r>
    </w:p>
    <w:p w14:paraId="1F80772F" w14:textId="7EFA6F2B" w:rsidR="00AC4E02" w:rsidRPr="00211D94" w:rsidRDefault="00AC4E02" w:rsidP="00F55865">
      <w:pPr>
        <w:pStyle w:val="Akapitzlist"/>
        <w:spacing w:before="120" w:after="120" w:line="276" w:lineRule="auto"/>
        <w:ind w:left="0"/>
        <w:contextualSpacing w:val="0"/>
        <w:rPr>
          <w:rFonts w:cs="Arial"/>
          <w:szCs w:val="24"/>
        </w:rPr>
      </w:pPr>
      <w:r w:rsidRPr="00211D94">
        <w:rPr>
          <w:rFonts w:cs="Arial"/>
          <w:szCs w:val="24"/>
        </w:rPr>
        <w:t>Istotnym czynnikiem sukcesu interwencji są wdrażane w Działaniu 8.4 przedsięwzięcia strategiczne, z uwagi na ich kompleksowy i skoordynowany charakter – dzięki czemu powsta</w:t>
      </w:r>
      <w:r w:rsidR="000169C9" w:rsidRPr="00211D94">
        <w:rPr>
          <w:rFonts w:cs="Arial"/>
          <w:szCs w:val="24"/>
        </w:rPr>
        <w:t>ły</w:t>
      </w:r>
      <w:r w:rsidRPr="00211D94">
        <w:rPr>
          <w:rFonts w:cs="Arial"/>
          <w:szCs w:val="24"/>
        </w:rPr>
        <w:t xml:space="preserve"> spójne i połączone ze sobą produkty turystyczne. Jednocześnie, wzrost dostępności zasobów kulturowych i naturalnych regionu przyczynia się do tworzenia całościowej i zrównoważonej oferty turystycznej.</w:t>
      </w:r>
    </w:p>
    <w:p w14:paraId="298FDD96" w14:textId="624950DF" w:rsidR="007D0568" w:rsidRPr="00211D94" w:rsidRDefault="0084314E" w:rsidP="00F55865">
      <w:pPr>
        <w:tabs>
          <w:tab w:val="left" w:pos="432"/>
        </w:tabs>
        <w:spacing w:before="120" w:after="120"/>
        <w:rPr>
          <w:rFonts w:cs="Arial"/>
          <w:b/>
          <w:szCs w:val="24"/>
        </w:rPr>
      </w:pPr>
      <w:r w:rsidRPr="00211D94">
        <w:rPr>
          <w:rFonts w:cs="Arial"/>
          <w:szCs w:val="24"/>
        </w:rPr>
        <w:t>Realizacja projektów</w:t>
      </w:r>
      <w:r w:rsidR="008B2886" w:rsidRPr="00211D94">
        <w:rPr>
          <w:rFonts w:cs="Arial"/>
          <w:szCs w:val="24"/>
        </w:rPr>
        <w:t xml:space="preserve"> w ramach Działania 8.3</w:t>
      </w:r>
      <w:r w:rsidRPr="00211D94">
        <w:rPr>
          <w:rFonts w:cs="Arial"/>
          <w:szCs w:val="24"/>
        </w:rPr>
        <w:t xml:space="preserve"> przyczy</w:t>
      </w:r>
      <w:r w:rsidR="00287A06" w:rsidRPr="00211D94">
        <w:rPr>
          <w:rFonts w:cs="Arial"/>
          <w:szCs w:val="24"/>
        </w:rPr>
        <w:t>niła się</w:t>
      </w:r>
      <w:r w:rsidRPr="00211D94">
        <w:rPr>
          <w:rFonts w:cs="Arial"/>
          <w:szCs w:val="24"/>
        </w:rPr>
        <w:t xml:space="preserve"> do wzrostu atrakcyjności turystycznej obszaru</w:t>
      </w:r>
      <w:r w:rsidR="00287A06" w:rsidRPr="00211D94">
        <w:rPr>
          <w:rFonts w:cs="Arial"/>
          <w:szCs w:val="24"/>
        </w:rPr>
        <w:t xml:space="preserve"> województwa pomorskiego</w:t>
      </w:r>
      <w:r w:rsidRPr="00211D94">
        <w:rPr>
          <w:rFonts w:cs="Arial"/>
          <w:szCs w:val="24"/>
        </w:rPr>
        <w:t>, a w połączeniu z efektami Działania 8.3 - nastąpi</w:t>
      </w:r>
      <w:r w:rsidR="000169C9" w:rsidRPr="00211D94">
        <w:rPr>
          <w:rFonts w:cs="Arial"/>
          <w:szCs w:val="24"/>
        </w:rPr>
        <w:t>ł</w:t>
      </w:r>
      <w:r w:rsidRPr="00211D94">
        <w:rPr>
          <w:rFonts w:cs="Arial"/>
          <w:szCs w:val="24"/>
        </w:rPr>
        <w:t xml:space="preserve"> znaczny wzrost oczekiwanej liczby odwiedzin w objętych wsparciem miejscach należących do dziedzictwa kulturalnego i naturalnego oraz stanowiących atrakcje turystyczne. Potwierdza to stopień osiągnięcia wskaźnik</w:t>
      </w:r>
      <w:r w:rsidR="008B2886" w:rsidRPr="00211D94">
        <w:rPr>
          <w:rFonts w:cs="Arial"/>
          <w:szCs w:val="24"/>
        </w:rPr>
        <w:t>a</w:t>
      </w:r>
      <w:r w:rsidRPr="00211D94">
        <w:rPr>
          <w:rFonts w:cs="Arial"/>
          <w:szCs w:val="24"/>
        </w:rPr>
        <w:t xml:space="preserve"> „Wzrost oczekiwanej liczby odwiedzin w objętych wsparciem miejscach należących do dziedzictwa kulturalnego i naturalnego oraz stanowiących atrakcje turystyczne”, który znacznie przekroczył wartość docelową z Programu – 287,9% (2 878 552 odwiedziny/rok).</w:t>
      </w:r>
    </w:p>
    <w:p w14:paraId="099DF755" w14:textId="5E023FA9" w:rsidR="00F21B81" w:rsidRPr="00211D94" w:rsidRDefault="00F21B81" w:rsidP="00F21B81">
      <w:pPr>
        <w:tabs>
          <w:tab w:val="left" w:pos="432"/>
        </w:tabs>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C8470F" w:rsidRPr="00211D94">
        <w:rPr>
          <w:rFonts w:cs="Arial"/>
          <w:szCs w:val="24"/>
        </w:rPr>
        <w:t>OP</w:t>
      </w:r>
      <w:r w:rsidRPr="00211D94">
        <w:rPr>
          <w:rFonts w:cs="Arial"/>
          <w:szCs w:val="24"/>
        </w:rPr>
        <w:t>8 RPO WP</w:t>
      </w:r>
      <w:r w:rsidR="00C8470F" w:rsidRPr="00211D94">
        <w:rPr>
          <w:rFonts w:cs="Arial"/>
          <w:szCs w:val="24"/>
        </w:rPr>
        <w:t xml:space="preserve"> </w:t>
      </w:r>
      <w:r w:rsidRPr="00211D94">
        <w:rPr>
          <w:rFonts w:cs="Arial"/>
          <w:szCs w:val="24"/>
        </w:rPr>
        <w:t>Instytucja Zarządzająca dysponuje danymi za rok 2023. Osiągnięte wartości kształtują się następująco:</w:t>
      </w:r>
    </w:p>
    <w:p w14:paraId="0C262F8E" w14:textId="77777777" w:rsidR="00F21B81" w:rsidRPr="00211D94" w:rsidRDefault="00F21B81" w:rsidP="00F21B81">
      <w:pPr>
        <w:pStyle w:val="Akapitzlist"/>
        <w:numPr>
          <w:ilvl w:val="0"/>
          <w:numId w:val="45"/>
        </w:numPr>
        <w:tabs>
          <w:tab w:val="left" w:pos="432"/>
        </w:tabs>
        <w:spacing w:before="120" w:after="120" w:line="276" w:lineRule="auto"/>
        <w:rPr>
          <w:rFonts w:cs="Arial"/>
          <w:szCs w:val="24"/>
        </w:rPr>
      </w:pPr>
      <w:r w:rsidRPr="00211D94">
        <w:rPr>
          <w:rFonts w:cs="Arial"/>
          <w:szCs w:val="24"/>
        </w:rPr>
        <w:t>Liczba korzystających z noclegów na 1000 ludności – 1 469 osób, przy wartości docelowej 1 080 osób;</w:t>
      </w:r>
    </w:p>
    <w:p w14:paraId="2FFB0C7D" w14:textId="77F84CEF" w:rsidR="00F21B81" w:rsidRPr="00211D94" w:rsidRDefault="00F21B81" w:rsidP="00F21B81">
      <w:pPr>
        <w:pStyle w:val="Akapitzlist"/>
        <w:numPr>
          <w:ilvl w:val="0"/>
          <w:numId w:val="45"/>
        </w:numPr>
        <w:tabs>
          <w:tab w:val="left" w:pos="432"/>
        </w:tabs>
        <w:spacing w:before="120" w:after="120" w:line="276" w:lineRule="auto"/>
        <w:rPr>
          <w:rFonts w:cs="Arial"/>
          <w:szCs w:val="24"/>
        </w:rPr>
      </w:pPr>
      <w:r w:rsidRPr="00211D94">
        <w:rPr>
          <w:rFonts w:cs="Arial"/>
          <w:szCs w:val="24"/>
        </w:rPr>
        <w:t xml:space="preserve">Zwiedzający muzea i oddziały muzealne na 10 tys. mieszkańców – </w:t>
      </w:r>
      <w:r w:rsidR="009C4152" w:rsidRPr="00211D94">
        <w:rPr>
          <w:rFonts w:cs="Arial"/>
          <w:szCs w:val="24"/>
        </w:rPr>
        <w:t>15 023</w:t>
      </w:r>
      <w:r w:rsidRPr="00211D94">
        <w:rPr>
          <w:rFonts w:cs="Arial"/>
          <w:szCs w:val="24"/>
        </w:rPr>
        <w:t xml:space="preserve"> os</w:t>
      </w:r>
      <w:r w:rsidR="009C4152" w:rsidRPr="00211D94">
        <w:rPr>
          <w:rFonts w:cs="Arial"/>
          <w:szCs w:val="24"/>
        </w:rPr>
        <w:t>oby</w:t>
      </w:r>
      <w:r w:rsidRPr="00211D94">
        <w:rPr>
          <w:rFonts w:cs="Arial"/>
          <w:szCs w:val="24"/>
        </w:rPr>
        <w:t>, wobec wartości docelowej 8 700 osób;</w:t>
      </w:r>
    </w:p>
    <w:p w14:paraId="4D1AF033" w14:textId="77777777" w:rsidR="00F21B81" w:rsidRPr="00211D94" w:rsidRDefault="00F21B81" w:rsidP="00F21B81">
      <w:pPr>
        <w:pStyle w:val="Akapitzlist"/>
        <w:numPr>
          <w:ilvl w:val="0"/>
          <w:numId w:val="45"/>
        </w:numPr>
        <w:tabs>
          <w:tab w:val="left" w:pos="432"/>
        </w:tabs>
        <w:spacing w:before="120" w:after="120" w:line="276" w:lineRule="auto"/>
        <w:rPr>
          <w:rFonts w:cs="Arial"/>
          <w:szCs w:val="24"/>
        </w:rPr>
      </w:pPr>
      <w:r w:rsidRPr="00211D94">
        <w:rPr>
          <w:rFonts w:cs="Arial"/>
          <w:szCs w:val="24"/>
        </w:rPr>
        <w:t>Osoby korzystające ze świadczeń pomocy społecznej na 10 tys. mieszkańców – 248 osób, przy wartości docelowej 500 osób.</w:t>
      </w:r>
    </w:p>
    <w:p w14:paraId="1D7DB7BC" w14:textId="0BAC6AA2" w:rsidR="00F21B81" w:rsidRPr="00211D94" w:rsidRDefault="00F21B81" w:rsidP="00F21B81">
      <w:pPr>
        <w:tabs>
          <w:tab w:val="left" w:pos="432"/>
        </w:tabs>
        <w:spacing w:before="120" w:after="120"/>
        <w:rPr>
          <w:rFonts w:cs="Arial"/>
          <w:szCs w:val="24"/>
        </w:rPr>
      </w:pPr>
      <w:r w:rsidRPr="00211D94">
        <w:rPr>
          <w:rFonts w:cs="Arial"/>
          <w:szCs w:val="24"/>
        </w:rPr>
        <w:t xml:space="preserve">Wszystkie analizowane wskaźniki dla </w:t>
      </w:r>
      <w:r w:rsidR="00783935" w:rsidRPr="00211D94">
        <w:rPr>
          <w:rFonts w:cs="Arial"/>
          <w:szCs w:val="24"/>
        </w:rPr>
        <w:t>OP</w:t>
      </w:r>
      <w:r w:rsidRPr="00211D94">
        <w:rPr>
          <w:rFonts w:cs="Arial"/>
          <w:szCs w:val="24"/>
        </w:rPr>
        <w:t>8 wykazują pozytywne tendencje, a ich wartości znacząco przekraczają cele, co świadczy o skuteczności działań prowadzonych w obszarze rozwoju turystyki, kultury oraz integracji społecznej w województwie pomorskim.</w:t>
      </w:r>
    </w:p>
    <w:p w14:paraId="7AFE6DA7" w14:textId="36D2D7B0" w:rsidR="00F21B81" w:rsidRPr="00211D94" w:rsidRDefault="00F21B81" w:rsidP="00F21B81">
      <w:pPr>
        <w:tabs>
          <w:tab w:val="left" w:pos="432"/>
        </w:tabs>
        <w:spacing w:before="120" w:after="120"/>
        <w:rPr>
          <w:rFonts w:cs="Arial"/>
          <w:szCs w:val="24"/>
        </w:rPr>
      </w:pPr>
      <w:r w:rsidRPr="00211D94">
        <w:rPr>
          <w:rFonts w:cs="Arial"/>
          <w:szCs w:val="24"/>
        </w:rPr>
        <w:t xml:space="preserve">Wzrost liczby korzystających z noclegów i zwiedzających muzea wskazuje na pełną odbudowę sektora turystyki i kultury po pandemii COVID-19. Pomimo trudnego okresu ograniczeń, </w:t>
      </w:r>
      <w:r w:rsidR="008B2886" w:rsidRPr="00211D94">
        <w:rPr>
          <w:rFonts w:cs="Arial"/>
          <w:szCs w:val="24"/>
        </w:rPr>
        <w:t>w 2023 roku sektor turystyki i kultury w regionie osiągnął, a następnie przekroczył wyniki sprzed kryzysu</w:t>
      </w:r>
      <w:r w:rsidRPr="00211D94">
        <w:rPr>
          <w:rFonts w:cs="Arial"/>
          <w:szCs w:val="24"/>
        </w:rPr>
        <w:t>, dzięki m.in. rozwojowi oferty turystycznej i poprawie infrastruktury kulturalnej.</w:t>
      </w:r>
    </w:p>
    <w:p w14:paraId="0DC18F04" w14:textId="2E159DE7" w:rsidR="00F21B81" w:rsidRPr="00211D94" w:rsidRDefault="00F21B81" w:rsidP="00F21B81">
      <w:pPr>
        <w:tabs>
          <w:tab w:val="left" w:pos="432"/>
        </w:tabs>
        <w:spacing w:before="120" w:after="120"/>
        <w:rPr>
          <w:rFonts w:cs="Arial"/>
          <w:szCs w:val="24"/>
        </w:rPr>
      </w:pPr>
      <w:r w:rsidRPr="00211D94">
        <w:rPr>
          <w:rFonts w:cs="Arial"/>
          <w:szCs w:val="24"/>
        </w:rPr>
        <w:t>Równocześnie znaczne zmniejszenie liczby osób korzystających z pomocy społecznej (248 wobec</w:t>
      </w:r>
      <w:r w:rsidR="009C4152" w:rsidRPr="00211D94">
        <w:rPr>
          <w:rFonts w:cs="Arial"/>
          <w:szCs w:val="24"/>
        </w:rPr>
        <w:t xml:space="preserve"> wartości docelowej</w:t>
      </w:r>
      <w:r w:rsidRPr="00211D94">
        <w:rPr>
          <w:rFonts w:cs="Arial"/>
          <w:szCs w:val="24"/>
        </w:rPr>
        <w:t xml:space="preserve"> 500 na 10 tys. mieszkańców) świadczy o poprawie sytuacji społeczno-ekonomicznej mieszkańców, wzroście zatrudnienia oraz lepszym dostępie do usług publicznych i programów integracyjnych.</w:t>
      </w:r>
    </w:p>
    <w:p w14:paraId="0F34904C" w14:textId="44BF83B0" w:rsidR="007D0568" w:rsidRPr="00211D94" w:rsidRDefault="00F21B81" w:rsidP="00161D05">
      <w:pPr>
        <w:tabs>
          <w:tab w:val="left" w:pos="432"/>
        </w:tabs>
        <w:spacing w:before="120" w:after="120"/>
        <w:rPr>
          <w:rFonts w:cs="Arial"/>
          <w:szCs w:val="24"/>
        </w:rPr>
      </w:pPr>
      <w:r w:rsidRPr="00211D94">
        <w:rPr>
          <w:rFonts w:cs="Arial"/>
          <w:szCs w:val="24"/>
        </w:rPr>
        <w:t xml:space="preserve">Ogólny poziom realizacji </w:t>
      </w:r>
      <w:r w:rsidR="009C4152" w:rsidRPr="00211D94">
        <w:rPr>
          <w:rFonts w:cs="Arial"/>
          <w:szCs w:val="24"/>
        </w:rPr>
        <w:t>wskaźników</w:t>
      </w:r>
      <w:r w:rsidRPr="00211D94">
        <w:rPr>
          <w:rFonts w:cs="Arial"/>
          <w:szCs w:val="24"/>
        </w:rPr>
        <w:t xml:space="preserve"> rezultatu dla </w:t>
      </w:r>
      <w:r w:rsidR="00C8470F" w:rsidRPr="00211D94">
        <w:rPr>
          <w:rFonts w:cs="Arial"/>
          <w:szCs w:val="24"/>
        </w:rPr>
        <w:t>OP</w:t>
      </w:r>
      <w:r w:rsidRPr="00211D94">
        <w:rPr>
          <w:rFonts w:cs="Arial"/>
          <w:szCs w:val="24"/>
        </w:rPr>
        <w:t xml:space="preserve">8 można ocenić jako bardzo wysoki. Region w pełni odbudował potencjał turystyczny i kulturalny po pandemii, jednocześnie ograniczając skalę wykluczenia społecznego. Osiągnięte wyniki potwierdzają wysoką skuteczność interwencji w ramach RPO WP oraz trwały charakter efektów projektów realizowanych w tej </w:t>
      </w:r>
      <w:r w:rsidR="003D4653" w:rsidRPr="00211D94">
        <w:rPr>
          <w:rFonts w:cs="Arial"/>
          <w:szCs w:val="24"/>
        </w:rPr>
        <w:t>O</w:t>
      </w:r>
      <w:r w:rsidRPr="00211D94">
        <w:rPr>
          <w:rFonts w:cs="Arial"/>
          <w:szCs w:val="24"/>
        </w:rPr>
        <w:t>si.</w:t>
      </w:r>
    </w:p>
    <w:p w14:paraId="6E906E0D" w14:textId="77777777" w:rsidR="007D0568" w:rsidRPr="00211D94" w:rsidRDefault="007D0568" w:rsidP="00F55865">
      <w:pPr>
        <w:pStyle w:val="Nagwek2"/>
        <w:spacing w:before="120" w:after="120"/>
        <w:rPr>
          <w:rFonts w:cs="Arial"/>
          <w:color w:val="FFFFFF" w:themeColor="background1"/>
          <w:sz w:val="24"/>
          <w:szCs w:val="24"/>
          <w:lang w:eastAsia="pl-PL"/>
        </w:rPr>
      </w:pPr>
      <w:bookmarkStart w:id="156" w:name="_Toc484443229"/>
      <w:bookmarkStart w:id="157" w:name="_Toc9418246"/>
      <w:bookmarkStart w:id="158" w:name="_Toc214025289"/>
      <w:r w:rsidRPr="00211D94">
        <w:rPr>
          <w:rFonts w:cs="Arial"/>
          <w:color w:val="FFFFFF" w:themeColor="background1"/>
          <w:sz w:val="24"/>
          <w:szCs w:val="24"/>
          <w:lang w:eastAsia="pl-PL"/>
        </w:rPr>
        <w:t>OP9. MOBILNOŚĆ</w:t>
      </w:r>
      <w:bookmarkEnd w:id="156"/>
      <w:bookmarkEnd w:id="157"/>
      <w:bookmarkEnd w:id="158"/>
      <w:r w:rsidRPr="00211D94">
        <w:rPr>
          <w:rFonts w:cs="Arial"/>
          <w:color w:val="FFFFFF" w:themeColor="background1"/>
          <w:sz w:val="24"/>
          <w:szCs w:val="24"/>
          <w:lang w:eastAsia="pl-PL"/>
        </w:rPr>
        <w:t xml:space="preserve"> </w:t>
      </w:r>
    </w:p>
    <w:tbl>
      <w:tblPr>
        <w:tblW w:w="0" w:type="auto"/>
        <w:tblLook w:val="04A0" w:firstRow="1" w:lastRow="0" w:firstColumn="1" w:lastColumn="0" w:noHBand="0" w:noVBand="1"/>
      </w:tblPr>
      <w:tblGrid>
        <w:gridCol w:w="1600"/>
        <w:gridCol w:w="7472"/>
      </w:tblGrid>
      <w:tr w:rsidR="007D0568" w:rsidRPr="00211D94" w14:paraId="016671C3" w14:textId="77777777" w:rsidTr="00756D1A">
        <w:tc>
          <w:tcPr>
            <w:tcW w:w="1600" w:type="dxa"/>
            <w:shd w:val="clear" w:color="auto" w:fill="auto"/>
          </w:tcPr>
          <w:p w14:paraId="35DADCA3" w14:textId="439DBB24"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692FA93C" wp14:editId="316A5B38">
                  <wp:extent cx="878840" cy="854710"/>
                  <wp:effectExtent l="0" t="0" r="0" b="2540"/>
                  <wp:docPr id="20" name="Obraz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8840" cy="854710"/>
                          </a:xfrm>
                          <a:prstGeom prst="rect">
                            <a:avLst/>
                          </a:prstGeom>
                          <a:noFill/>
                          <a:ln>
                            <a:noFill/>
                          </a:ln>
                        </pic:spPr>
                      </pic:pic>
                    </a:graphicData>
                  </a:graphic>
                </wp:inline>
              </w:drawing>
            </w:r>
          </w:p>
        </w:tc>
        <w:tc>
          <w:tcPr>
            <w:tcW w:w="7472" w:type="dxa"/>
            <w:shd w:val="clear" w:color="auto" w:fill="auto"/>
          </w:tcPr>
          <w:p w14:paraId="284F330E" w14:textId="03EEC79C" w:rsidR="007D0568" w:rsidRPr="00211D94" w:rsidRDefault="007D0568" w:rsidP="00F55865">
            <w:pPr>
              <w:spacing w:before="120" w:after="120"/>
              <w:rPr>
                <w:rFonts w:cs="Arial"/>
                <w:szCs w:val="24"/>
              </w:rPr>
            </w:pPr>
            <w:r w:rsidRPr="00211D94">
              <w:rPr>
                <w:rFonts w:cs="Arial"/>
                <w:szCs w:val="24"/>
              </w:rPr>
              <w:t>OP9 odpowiada</w:t>
            </w:r>
            <w:r w:rsidR="009C4152" w:rsidRPr="00211D94">
              <w:rPr>
                <w:rFonts w:cs="Arial"/>
                <w:szCs w:val="24"/>
              </w:rPr>
              <w:t>ła</w:t>
            </w:r>
            <w:r w:rsidRPr="00211D94">
              <w:rPr>
                <w:rFonts w:cs="Arial"/>
                <w:szCs w:val="24"/>
              </w:rPr>
              <w:t xml:space="preserve"> na wyzwania dotyczące osiągnięcia wewnętrznej spójności transportowej regionu, umocnienia pozycji transportu zbiorowego oraz efektywnych połączeń regionalnego – drogowego i kolejowego – układu transportowego z systemem krajowym i europejskim poprzez inwestycje skupiające się na transporcie zbiorowym w miejskich obszarach funkcjonalnych, także regionalnej infrastrukturze kolejowej i drogowej.</w:t>
            </w:r>
          </w:p>
        </w:tc>
      </w:tr>
    </w:tbl>
    <w:p w14:paraId="6183F54A"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5226F8DD" w14:textId="23936B9C" w:rsidR="007D0568" w:rsidRPr="00211D94" w:rsidRDefault="007D0568" w:rsidP="00F55865">
      <w:pPr>
        <w:tabs>
          <w:tab w:val="left" w:pos="432"/>
        </w:tabs>
        <w:spacing w:before="120" w:after="120"/>
        <w:rPr>
          <w:rFonts w:cs="Arial"/>
          <w:szCs w:val="24"/>
        </w:rPr>
      </w:pPr>
      <w:r w:rsidRPr="00211D94">
        <w:rPr>
          <w:rFonts w:cs="Arial"/>
          <w:szCs w:val="24"/>
        </w:rPr>
        <w:t xml:space="preserve">W ramach OP9 </w:t>
      </w:r>
      <w:r w:rsidR="003B5EF9" w:rsidRPr="00211D94">
        <w:rPr>
          <w:rFonts w:cs="Arial"/>
          <w:szCs w:val="24"/>
        </w:rPr>
        <w:t>„</w:t>
      </w:r>
      <w:r w:rsidRPr="00211D94">
        <w:rPr>
          <w:rFonts w:cs="Arial"/>
          <w:szCs w:val="24"/>
        </w:rPr>
        <w:t>Mobilność</w:t>
      </w:r>
      <w:r w:rsidR="003B5EF9" w:rsidRPr="00211D94">
        <w:rPr>
          <w:rFonts w:cs="Arial"/>
          <w:szCs w:val="24"/>
        </w:rPr>
        <w:t>”</w:t>
      </w:r>
      <w:r w:rsidRPr="00211D94">
        <w:rPr>
          <w:rFonts w:cs="Arial"/>
          <w:szCs w:val="24"/>
        </w:rPr>
        <w:t xml:space="preserve"> zawarto </w:t>
      </w:r>
      <w:r w:rsidR="007C346A" w:rsidRPr="00211D94">
        <w:rPr>
          <w:rFonts w:cs="Arial"/>
          <w:b/>
          <w:szCs w:val="24"/>
        </w:rPr>
        <w:t xml:space="preserve">48 </w:t>
      </w:r>
      <w:r w:rsidRPr="00211D94">
        <w:rPr>
          <w:rFonts w:cs="Arial"/>
          <w:szCs w:val="24"/>
        </w:rPr>
        <w:t>um</w:t>
      </w:r>
      <w:r w:rsidR="007C346A" w:rsidRPr="00211D94">
        <w:rPr>
          <w:rFonts w:cs="Arial"/>
          <w:szCs w:val="24"/>
        </w:rPr>
        <w:t>ów</w:t>
      </w:r>
      <w:r w:rsidRPr="00211D94">
        <w:rPr>
          <w:rFonts w:cs="Arial"/>
          <w:szCs w:val="24"/>
        </w:rPr>
        <w:t xml:space="preserve"> na kwotę </w:t>
      </w:r>
      <w:r w:rsidR="007C346A" w:rsidRPr="00211D94">
        <w:rPr>
          <w:rFonts w:cs="Arial"/>
          <w:b/>
          <w:szCs w:val="24"/>
        </w:rPr>
        <w:t xml:space="preserve">599 156 704 </w:t>
      </w:r>
      <w:r w:rsidRPr="00211D94">
        <w:rPr>
          <w:rFonts w:cs="Arial"/>
          <w:b/>
          <w:szCs w:val="24"/>
        </w:rPr>
        <w:t>EUR</w:t>
      </w:r>
      <w:r w:rsidRPr="00211D94">
        <w:rPr>
          <w:rFonts w:cs="Arial"/>
          <w:szCs w:val="24"/>
        </w:rPr>
        <w:t xml:space="preserve">, w tym dofinansowanie UE </w:t>
      </w:r>
      <w:bookmarkStart w:id="159" w:name="_Hlk212740803"/>
      <w:r w:rsidR="004A3CD3" w:rsidRPr="00211D94">
        <w:rPr>
          <w:rFonts w:cs="Arial"/>
          <w:b/>
          <w:szCs w:val="24"/>
        </w:rPr>
        <w:t xml:space="preserve">378 625 061 </w:t>
      </w:r>
      <w:r w:rsidRPr="00211D94">
        <w:rPr>
          <w:rFonts w:cs="Arial"/>
          <w:b/>
          <w:szCs w:val="24"/>
        </w:rPr>
        <w:t>EUR</w:t>
      </w:r>
      <w:bookmarkEnd w:id="159"/>
      <w:r w:rsidRPr="00211D94">
        <w:rPr>
          <w:rFonts w:cs="Arial"/>
          <w:szCs w:val="24"/>
        </w:rPr>
        <w:t xml:space="preserve">. Tym samym kontraktacja w tej Osi została osiągnięta na poziomie </w:t>
      </w:r>
      <w:r w:rsidR="004A3CD3" w:rsidRPr="00211D94">
        <w:rPr>
          <w:rFonts w:cs="Arial"/>
          <w:b/>
          <w:szCs w:val="24"/>
        </w:rPr>
        <w:t>102,4</w:t>
      </w:r>
      <w:r w:rsidRPr="00211D94">
        <w:rPr>
          <w:rFonts w:cs="Arial"/>
          <w:b/>
          <w:szCs w:val="24"/>
        </w:rPr>
        <w:t>%</w:t>
      </w:r>
      <w:r w:rsidRPr="00211D94">
        <w:rPr>
          <w:rFonts w:cs="Arial"/>
          <w:szCs w:val="24"/>
        </w:rPr>
        <w:t xml:space="preserve"> alokacji przeznaczonej na realizację OP9.</w:t>
      </w:r>
    </w:p>
    <w:p w14:paraId="3C262AE0" w14:textId="16210BE3"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B01744">
        <w:rPr>
          <w:rFonts w:cs="Arial"/>
          <w:szCs w:val="24"/>
        </w:rPr>
        <w:t xml:space="preserve"> </w:t>
      </w:r>
      <w:r w:rsidRPr="00211D94">
        <w:rPr>
          <w:rFonts w:cs="Arial"/>
          <w:szCs w:val="24"/>
        </w:rPr>
        <w:t xml:space="preserve">wydatki na kwotę </w:t>
      </w:r>
      <w:r w:rsidR="004A3CD3" w:rsidRPr="00211D94">
        <w:rPr>
          <w:rFonts w:cs="Arial"/>
          <w:b/>
          <w:szCs w:val="24"/>
        </w:rPr>
        <w:t xml:space="preserve">470 372 451 </w:t>
      </w:r>
      <w:r w:rsidRPr="00211D94">
        <w:rPr>
          <w:rFonts w:cs="Arial"/>
          <w:b/>
          <w:szCs w:val="24"/>
        </w:rPr>
        <w:t>EUR</w:t>
      </w:r>
      <w:r w:rsidRPr="00211D94">
        <w:rPr>
          <w:rFonts w:cs="Arial"/>
          <w:szCs w:val="24"/>
        </w:rPr>
        <w:t xml:space="preserve">, w tym </w:t>
      </w:r>
      <w:r w:rsidR="004A3CD3" w:rsidRPr="00211D94">
        <w:rPr>
          <w:rFonts w:cs="Arial"/>
          <w:b/>
          <w:szCs w:val="24"/>
        </w:rPr>
        <w:t xml:space="preserve">378 625 061 </w:t>
      </w:r>
      <w:r w:rsidRPr="00211D94">
        <w:rPr>
          <w:rFonts w:cs="Arial"/>
          <w:b/>
          <w:szCs w:val="24"/>
        </w:rPr>
        <w:t>EUR</w:t>
      </w:r>
      <w:r w:rsidRPr="00211D94">
        <w:rPr>
          <w:rFonts w:cs="Arial"/>
          <w:szCs w:val="24"/>
        </w:rPr>
        <w:t xml:space="preserve"> dofinansowania UE, co stanowi </w:t>
      </w:r>
      <w:r w:rsidR="004A3CD3" w:rsidRPr="00211D94">
        <w:rPr>
          <w:rFonts w:cs="Arial"/>
          <w:b/>
          <w:szCs w:val="24"/>
        </w:rPr>
        <w:t>102,4</w:t>
      </w:r>
      <w:r w:rsidRPr="00211D94">
        <w:rPr>
          <w:rFonts w:cs="Arial"/>
          <w:b/>
          <w:szCs w:val="24"/>
        </w:rPr>
        <w:t xml:space="preserve">% </w:t>
      </w:r>
      <w:r w:rsidRPr="00211D94">
        <w:rPr>
          <w:rFonts w:cs="Arial"/>
          <w:szCs w:val="24"/>
        </w:rPr>
        <w:t xml:space="preserve">przeznaczonej na OP9 alokacji. </w:t>
      </w:r>
    </w:p>
    <w:p w14:paraId="1B684D2E" w14:textId="7A6C52EE" w:rsidR="007D0568" w:rsidRPr="00211D94" w:rsidRDefault="007D0568" w:rsidP="00161D05">
      <w:pPr>
        <w:spacing w:before="120" w:after="120"/>
        <w:rPr>
          <w:rFonts w:cs="Arial"/>
          <w:szCs w:val="24"/>
        </w:rPr>
      </w:pPr>
      <w:r w:rsidRPr="00211D94">
        <w:rPr>
          <w:rFonts w:cs="Arial"/>
          <w:szCs w:val="24"/>
        </w:rPr>
        <w:t xml:space="preserve">Dla OP9 określono w odniesieniu do </w:t>
      </w:r>
      <w:r w:rsidRPr="00211D94">
        <w:rPr>
          <w:rFonts w:cs="Arial"/>
          <w:b/>
          <w:szCs w:val="24"/>
        </w:rPr>
        <w:t>ram wykonania</w:t>
      </w:r>
      <w:r w:rsidRPr="00211D94">
        <w:rPr>
          <w:rFonts w:cs="Arial"/>
          <w:szCs w:val="24"/>
        </w:rPr>
        <w:t xml:space="preserve"> </w:t>
      </w:r>
      <w:r w:rsidR="00783935" w:rsidRPr="00211D94">
        <w:rPr>
          <w:rFonts w:cs="Arial"/>
          <w:szCs w:val="24"/>
        </w:rPr>
        <w:t>cztery</w:t>
      </w:r>
      <w:r w:rsidRPr="00211D94">
        <w:rPr>
          <w:rFonts w:cs="Arial"/>
          <w:szCs w:val="24"/>
        </w:rPr>
        <w:t xml:space="preserve"> wskaźniki – </w:t>
      </w:r>
      <w:r w:rsidR="00783935" w:rsidRPr="00211D94">
        <w:rPr>
          <w:rFonts w:cs="Arial"/>
          <w:szCs w:val="24"/>
        </w:rPr>
        <w:t>dwa</w:t>
      </w:r>
      <w:r w:rsidRPr="00211D94">
        <w:rPr>
          <w:rFonts w:cs="Arial"/>
          <w:szCs w:val="24"/>
        </w:rPr>
        <w:t xml:space="preserve"> wskaźniki produktu,</w:t>
      </w:r>
      <w:r w:rsidR="00783935" w:rsidRPr="00211D94">
        <w:rPr>
          <w:rFonts w:cs="Arial"/>
          <w:szCs w:val="24"/>
        </w:rPr>
        <w:t xml:space="preserve"> </w:t>
      </w:r>
      <w:r w:rsidRPr="00211D94">
        <w:rPr>
          <w:rFonts w:cs="Arial"/>
          <w:szCs w:val="24"/>
        </w:rPr>
        <w:t>KEW i wskaźnik finansowy tj.:</w:t>
      </w:r>
    </w:p>
    <w:p w14:paraId="0B65ADE3" w14:textId="602002AB" w:rsidR="007D0568"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Całkowita długość przebudowanych lub zmodernizowanych dróg</w:t>
      </w:r>
      <w:r w:rsidRPr="00211D94">
        <w:rPr>
          <w:rFonts w:cs="Arial"/>
          <w:szCs w:val="24"/>
        </w:rPr>
        <w:t>”</w:t>
      </w:r>
      <w:r w:rsidR="007D0568" w:rsidRPr="00211D94">
        <w:rPr>
          <w:rFonts w:cs="Arial"/>
          <w:szCs w:val="24"/>
        </w:rPr>
        <w:t xml:space="preserve">, dla którego osiągnięto wartość </w:t>
      </w:r>
      <w:r w:rsidR="00045449" w:rsidRPr="00211D94">
        <w:rPr>
          <w:rFonts w:cs="Arial"/>
          <w:szCs w:val="24"/>
        </w:rPr>
        <w:t xml:space="preserve">135,76 </w:t>
      </w:r>
      <w:r w:rsidR="007D0568" w:rsidRPr="00211D94">
        <w:rPr>
          <w:rFonts w:cs="Arial"/>
          <w:szCs w:val="24"/>
        </w:rPr>
        <w:t xml:space="preserve">km - co powoduje, że cel końcowy (2023 r.) </w:t>
      </w:r>
      <w:r w:rsidR="00045449" w:rsidRPr="00211D94">
        <w:rPr>
          <w:rFonts w:cs="Arial"/>
          <w:szCs w:val="24"/>
        </w:rPr>
        <w:t xml:space="preserve">został osiągnięty </w:t>
      </w:r>
      <w:r w:rsidR="007D0568" w:rsidRPr="00211D94">
        <w:rPr>
          <w:rFonts w:cs="Arial"/>
          <w:szCs w:val="24"/>
        </w:rPr>
        <w:t xml:space="preserve">na poziomie </w:t>
      </w:r>
      <w:r w:rsidR="00045449" w:rsidRPr="00211D94">
        <w:rPr>
          <w:rFonts w:cs="Arial"/>
          <w:szCs w:val="24"/>
        </w:rPr>
        <w:t>104,4</w:t>
      </w:r>
      <w:r w:rsidR="007D0568" w:rsidRPr="00211D94">
        <w:rPr>
          <w:rFonts w:cs="Arial"/>
          <w:szCs w:val="24"/>
        </w:rPr>
        <w:t>%</w:t>
      </w:r>
      <w:r w:rsidR="00045449" w:rsidRPr="00211D94">
        <w:rPr>
          <w:rFonts w:cs="Arial"/>
          <w:szCs w:val="24"/>
        </w:rPr>
        <w:t>,</w:t>
      </w:r>
    </w:p>
    <w:p w14:paraId="33AECD78" w14:textId="440D697A" w:rsidR="00045449"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Całkowita długość przebudowanych lub zmodernizowanych linii kolejowych</w:t>
      </w:r>
      <w:r w:rsidRPr="00211D94">
        <w:rPr>
          <w:rFonts w:cs="Arial"/>
          <w:szCs w:val="24"/>
        </w:rPr>
        <w:t>”</w:t>
      </w:r>
      <w:r w:rsidR="00045449" w:rsidRPr="00211D94">
        <w:rPr>
          <w:rFonts w:cs="Arial"/>
          <w:szCs w:val="24"/>
        </w:rPr>
        <w:t xml:space="preserve"> dla którego osiągnięto wartość 145 km - co powoduje, że cel końcowy (2023 r.) został osiągnięty na poziomie 131,9%,</w:t>
      </w:r>
    </w:p>
    <w:p w14:paraId="02EC67B0" w14:textId="2E87FDDA" w:rsidR="007D0568"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projektów dot. przebudowy lub modernizacji linii kolejowych, dla których podpisano umowy o dofinansowanie</w:t>
      </w:r>
      <w:r w:rsidRPr="00211D94">
        <w:rPr>
          <w:rFonts w:cs="Arial"/>
          <w:szCs w:val="24"/>
        </w:rPr>
        <w:t>”</w:t>
      </w:r>
      <w:r w:rsidR="007D0568" w:rsidRPr="00211D94">
        <w:rPr>
          <w:rFonts w:cs="Arial"/>
          <w:szCs w:val="24"/>
        </w:rPr>
        <w:t>, dla którego wartość wynosi 2 szt. – 100% celu pośredniego</w:t>
      </w:r>
      <w:r w:rsidR="007A7ED8" w:rsidRPr="00211D94">
        <w:rPr>
          <w:rFonts w:cs="Arial"/>
          <w:szCs w:val="24"/>
        </w:rPr>
        <w:t xml:space="preserve"> na 2018 r.</w:t>
      </w:r>
      <w:r w:rsidR="007D0568" w:rsidRPr="00211D94">
        <w:rPr>
          <w:rFonts w:cs="Arial"/>
          <w:szCs w:val="24"/>
        </w:rPr>
        <w:t>,</w:t>
      </w:r>
    </w:p>
    <w:p w14:paraId="42528F33" w14:textId="7B5B8590"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045449" w:rsidRPr="00211D94">
        <w:rPr>
          <w:rFonts w:cs="Arial"/>
          <w:szCs w:val="24"/>
        </w:rPr>
        <w:t xml:space="preserve">473 753 970 </w:t>
      </w:r>
      <w:r w:rsidRPr="00211D94">
        <w:rPr>
          <w:rFonts w:cs="Arial"/>
          <w:szCs w:val="24"/>
        </w:rPr>
        <w:t>EUR – co powoduje, że</w:t>
      </w:r>
      <w:r w:rsidR="00045449" w:rsidRPr="00211D94">
        <w:rPr>
          <w:rFonts w:cs="Arial"/>
          <w:szCs w:val="24"/>
        </w:rPr>
        <w:t xml:space="preserve"> cel końcowy (2023 r.) został osiągnięty na poziomie 108,9%.</w:t>
      </w:r>
      <w:r w:rsidR="002B7CAD" w:rsidRPr="00211D94">
        <w:rPr>
          <w:rFonts w:cs="Arial"/>
          <w:szCs w:val="24"/>
        </w:rPr>
        <w:t xml:space="preserve"> </w:t>
      </w:r>
      <w:r w:rsidR="00A51349" w:rsidRPr="00211D94">
        <w:rPr>
          <w:rFonts w:cs="Arial"/>
          <w:szCs w:val="24"/>
        </w:rPr>
        <w:t>Wskaźnik finansowy obejmuje wydatki kwalifikowalne przekazane do KE.</w:t>
      </w:r>
    </w:p>
    <w:p w14:paraId="6E596A8C" w14:textId="548A5C04" w:rsidR="00493B64" w:rsidRPr="00211D94" w:rsidRDefault="00493B64" w:rsidP="00F55865">
      <w:pPr>
        <w:tabs>
          <w:tab w:val="left" w:pos="432"/>
        </w:tabs>
        <w:spacing w:before="120" w:after="120"/>
        <w:rPr>
          <w:rFonts w:cs="Arial"/>
          <w:szCs w:val="24"/>
        </w:rPr>
      </w:pPr>
      <w:r w:rsidRPr="00211D94">
        <w:rPr>
          <w:rFonts w:cs="Arial"/>
          <w:szCs w:val="24"/>
        </w:rPr>
        <w:t>Wsparcie w ramach Działania 9.1</w:t>
      </w:r>
      <w:r w:rsidR="00BF3C2E" w:rsidRPr="00211D94">
        <w:rPr>
          <w:rFonts w:cs="Arial"/>
          <w:szCs w:val="24"/>
        </w:rPr>
        <w:t>.</w:t>
      </w:r>
      <w:r w:rsidRPr="00211D94">
        <w:rPr>
          <w:rFonts w:cs="Arial"/>
          <w:szCs w:val="24"/>
        </w:rPr>
        <w:t xml:space="preserve"> </w:t>
      </w:r>
      <w:r w:rsidR="003B5EF9" w:rsidRPr="00211D94">
        <w:rPr>
          <w:rFonts w:cs="Arial"/>
          <w:szCs w:val="24"/>
        </w:rPr>
        <w:t>„</w:t>
      </w:r>
      <w:r w:rsidR="0038751D" w:rsidRPr="00211D94">
        <w:rPr>
          <w:rFonts w:cs="Arial"/>
          <w:szCs w:val="24"/>
        </w:rPr>
        <w:t>Transport miejski</w:t>
      </w:r>
      <w:r w:rsidR="003B5EF9" w:rsidRPr="00211D94">
        <w:rPr>
          <w:rFonts w:cs="Arial"/>
          <w:szCs w:val="24"/>
        </w:rPr>
        <w:t>”</w:t>
      </w:r>
      <w:r w:rsidR="0038751D" w:rsidRPr="00211D94">
        <w:rPr>
          <w:rFonts w:cs="Arial"/>
          <w:szCs w:val="24"/>
        </w:rPr>
        <w:t xml:space="preserve"> (PI 4e) </w:t>
      </w:r>
      <w:r w:rsidRPr="00211D94">
        <w:rPr>
          <w:rFonts w:cs="Arial"/>
          <w:szCs w:val="24"/>
        </w:rPr>
        <w:t xml:space="preserve">miało na celu umocnienie pozycji transportu zbiorowego (mobilność zrównoważona) oraz ograniczenie emisji generowanej przez transport w miastach (mobilność niskoemisyjna), co miało przyczynić się do pogłębienia integracji oraz poprawy sprawności, atrakcyjności i </w:t>
      </w:r>
      <w:proofErr w:type="spellStart"/>
      <w:r w:rsidRPr="00211D94">
        <w:rPr>
          <w:rFonts w:cs="Arial"/>
          <w:szCs w:val="24"/>
        </w:rPr>
        <w:t>ekoefektywności</w:t>
      </w:r>
      <w:proofErr w:type="spellEnd"/>
      <w:r w:rsidRPr="00211D94">
        <w:rPr>
          <w:rFonts w:cs="Arial"/>
          <w:szCs w:val="24"/>
        </w:rPr>
        <w:t xml:space="preserve"> systemu transportu zbiorowego w największych miastach i ich obszarach funkcjonalnych, tworząc silną alternatywę dla indywidualnego transportu samochodowego. </w:t>
      </w:r>
    </w:p>
    <w:p w14:paraId="77596F59" w14:textId="77777777" w:rsidR="00493B64" w:rsidRPr="00211D94" w:rsidRDefault="00493B64" w:rsidP="00F55865">
      <w:pPr>
        <w:tabs>
          <w:tab w:val="left" w:pos="432"/>
        </w:tabs>
        <w:spacing w:before="120" w:after="120"/>
        <w:rPr>
          <w:rFonts w:cs="Arial"/>
          <w:szCs w:val="24"/>
        </w:rPr>
      </w:pPr>
      <w:r w:rsidRPr="00211D94">
        <w:rPr>
          <w:rFonts w:cs="Arial"/>
          <w:szCs w:val="24"/>
        </w:rPr>
        <w:t xml:space="preserve">W RPO WP w tym Działaniu przewidziano wsparcie przedsięwzięć polegających na kompleksowej modernizacji istniejących i budowie nowych elementów infrastruktury zbiorowego transportu szynowego, trolejbusowego, autobusowego i rowerowego: liniowej i węzłowej (węzły integrujące podsystemy transportu zbiorowego, w tym kolejowego wraz z budynkami dworców kolejowych). Umożliwiono także realizację przedsięwzięć poprawiających funkcjonowanie, konkurencyjność i bezpieczeństwo publicznego transportu zbiorowego (m.in. inteligentne systemy transportowe). Obok działań infrastrukturalnych możliwe było także wsparcie przedsięwzięć związanych z zakupem i modernizacją taboru, zwłaszcza wykorzystującego napęd elektryczny lub inne alternatywne systemy napędowe. W celu podniesienia efektywności transportu zbiorowego możliwa była również realizacja projektów dotyczących budowy infrastruktury liniowej transportu rowerowego (indywidualna mobilność aktywna) zapewniającej dojazd do węzłów integracyjnych. </w:t>
      </w:r>
    </w:p>
    <w:p w14:paraId="24E267D5" w14:textId="747E0A0A" w:rsidR="00493B64" w:rsidRPr="00211D94" w:rsidRDefault="00493B64" w:rsidP="00F55865">
      <w:pPr>
        <w:tabs>
          <w:tab w:val="left" w:pos="432"/>
        </w:tabs>
        <w:spacing w:before="120" w:after="120"/>
        <w:rPr>
          <w:rFonts w:cs="Arial"/>
          <w:szCs w:val="24"/>
        </w:rPr>
      </w:pPr>
      <w:r w:rsidRPr="00211D94">
        <w:rPr>
          <w:rFonts w:cs="Arial"/>
          <w:szCs w:val="24"/>
        </w:rPr>
        <w:t>Działanie 9.1</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Transport miejski</w:t>
      </w:r>
      <w:r w:rsidR="003B5EF9" w:rsidRPr="00211D94">
        <w:rPr>
          <w:rFonts w:cs="Arial"/>
          <w:szCs w:val="24"/>
        </w:rPr>
        <w:t>”</w:t>
      </w:r>
      <w:r w:rsidRPr="00211D94">
        <w:rPr>
          <w:rFonts w:cs="Arial"/>
          <w:szCs w:val="24"/>
        </w:rPr>
        <w:t xml:space="preserve"> realizowano poprzez dwa poddziałania – 9.1.1 obejmujące projekty w mechanizmie ZIT, wybierane w trybie pozakonkursowym</w:t>
      </w:r>
      <w:r w:rsidR="0038751D" w:rsidRPr="00211D94">
        <w:rPr>
          <w:rFonts w:cs="Arial"/>
          <w:szCs w:val="24"/>
        </w:rPr>
        <w:t xml:space="preserve"> – dofinansowano 18 projektów</w:t>
      </w:r>
      <w:r w:rsidRPr="00211D94">
        <w:rPr>
          <w:rFonts w:cs="Arial"/>
          <w:szCs w:val="24"/>
        </w:rPr>
        <w:t>, oraz 9.1.2 poza mechanizmem ZIT, wybierane w trybie konkursowym</w:t>
      </w:r>
      <w:r w:rsidR="0038751D" w:rsidRPr="00211D94">
        <w:rPr>
          <w:rFonts w:cs="Arial"/>
          <w:szCs w:val="24"/>
        </w:rPr>
        <w:t xml:space="preserve"> – wsparto 9 projektów.</w:t>
      </w:r>
    </w:p>
    <w:p w14:paraId="34D64387" w14:textId="7928495F" w:rsidR="00D903C2" w:rsidRPr="00211D94" w:rsidRDefault="0038751D" w:rsidP="00F55865">
      <w:pPr>
        <w:tabs>
          <w:tab w:val="left" w:pos="432"/>
        </w:tabs>
        <w:spacing w:before="120" w:after="120"/>
        <w:rPr>
          <w:rFonts w:cs="Arial"/>
          <w:szCs w:val="24"/>
        </w:rPr>
      </w:pPr>
      <w:r w:rsidRPr="00211D94">
        <w:rPr>
          <w:rFonts w:cs="Arial"/>
          <w:szCs w:val="24"/>
        </w:rPr>
        <w:t>Łącznie w ramach 27 projektów wybudowane zostały 32 zintegrowane węzły integracyjne (106,7% wartości docelowej)</w:t>
      </w:r>
      <w:r w:rsidR="001D0306" w:rsidRPr="00211D94">
        <w:rPr>
          <w:rFonts w:cs="Arial"/>
          <w:szCs w:val="24"/>
        </w:rPr>
        <w:t xml:space="preserve">, </w:t>
      </w:r>
      <w:r w:rsidRPr="00211D94">
        <w:rPr>
          <w:rFonts w:cs="Arial"/>
          <w:szCs w:val="24"/>
        </w:rPr>
        <w:t>42 parkingi „parkuj i jedź” (105% wartości docelowej</w:t>
      </w:r>
      <w:r w:rsidR="001D0306" w:rsidRPr="00211D94">
        <w:rPr>
          <w:rFonts w:cs="Arial"/>
          <w:szCs w:val="24"/>
        </w:rPr>
        <w:t>) oraz</w:t>
      </w:r>
      <w:r w:rsidRPr="00211D94">
        <w:rPr>
          <w:rFonts w:cs="Arial"/>
          <w:szCs w:val="24"/>
        </w:rPr>
        <w:t xml:space="preserve"> zakupiono 37 autobusów ( 102,8% wartości docelowej). </w:t>
      </w:r>
      <w:r w:rsidR="001D0306" w:rsidRPr="00211D94">
        <w:rPr>
          <w:rFonts w:cs="Arial"/>
          <w:szCs w:val="24"/>
        </w:rPr>
        <w:t>Nowy</w:t>
      </w:r>
      <w:r w:rsidRPr="00211D94">
        <w:rPr>
          <w:rFonts w:cs="Arial"/>
          <w:szCs w:val="24"/>
        </w:rPr>
        <w:t xml:space="preserve"> tabor został skierowany do obsługi transportu zbiorowego w Bytowie, Chojnicach, Kościerzynie, Lęborku, Słupsku i Starogardzie Gdańskim. </w:t>
      </w:r>
    </w:p>
    <w:p w14:paraId="7EC00360" w14:textId="77777777" w:rsidR="001D0306" w:rsidRPr="00211D94" w:rsidRDefault="001D0306" w:rsidP="00F55865">
      <w:pPr>
        <w:tabs>
          <w:tab w:val="left" w:pos="432"/>
        </w:tabs>
        <w:spacing w:before="120" w:after="120"/>
        <w:rPr>
          <w:rFonts w:cs="Arial"/>
          <w:szCs w:val="24"/>
        </w:rPr>
      </w:pPr>
      <w:r w:rsidRPr="00211D94">
        <w:rPr>
          <w:rFonts w:cs="Arial"/>
          <w:szCs w:val="24"/>
        </w:rPr>
        <w:t>Projekt „Budowa węzłów integracyjnych Władysławowo i Jastarnia wraz z trasami dojazdowymi” został uznany za niefunkcjonujący z uwagi na znaczne opóźnienia w realizacji spowodowane utratą decyzji środowiskowej. Szczegółowe informacje przedstawiono w Załączniku nr II do sprawozdania.</w:t>
      </w:r>
    </w:p>
    <w:p w14:paraId="4D11BB8C" w14:textId="77777777" w:rsidR="0069700B" w:rsidRPr="00211D94" w:rsidRDefault="0069700B" w:rsidP="00F55865">
      <w:pPr>
        <w:tabs>
          <w:tab w:val="left" w:pos="432"/>
        </w:tabs>
        <w:spacing w:before="120" w:after="120"/>
        <w:rPr>
          <w:rFonts w:cs="Arial"/>
          <w:szCs w:val="24"/>
        </w:rPr>
      </w:pPr>
      <w:r w:rsidRPr="00211D94">
        <w:rPr>
          <w:rFonts w:cs="Arial"/>
          <w:szCs w:val="24"/>
        </w:rPr>
        <w:t>Pozytywnie należy ocenić realizację węzłów integracyjnych jako podstawy infrastrukturalnej do poprawy konkurencyjności regionu. Stanowią one punkty łączące różne środki transportu, charakteryzujące się wysoką jakością przestrzeni publicznej, wyposażone w niezbędne dla pasażerów udogodnienia, takie jak toalety, oraz wpływające na pozytywny wizerunek miejscowości. Węzeł integracyjny może być istotnym czynnikiem rozwoju transportu zbiorowego, pod warunkiem że integracja obejmuje również aspekty organizacyjne, tak jak ma to miejsce w obszarze ZIT.</w:t>
      </w:r>
    </w:p>
    <w:p w14:paraId="30A0CE9D" w14:textId="40E4A81A" w:rsidR="007D0568" w:rsidRPr="00211D94" w:rsidRDefault="007D0568" w:rsidP="00F55865">
      <w:pPr>
        <w:tabs>
          <w:tab w:val="left" w:pos="432"/>
        </w:tabs>
        <w:spacing w:before="120" w:after="120"/>
        <w:rPr>
          <w:rFonts w:cs="Arial"/>
          <w:szCs w:val="24"/>
        </w:rPr>
      </w:pPr>
      <w:r w:rsidRPr="00211D94">
        <w:rPr>
          <w:rFonts w:cs="Arial"/>
          <w:szCs w:val="24"/>
        </w:rPr>
        <w:t>W Działaniu 9.2</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Regionalna infrastruktura kolejowa</w:t>
      </w:r>
      <w:r w:rsidR="003B5EF9" w:rsidRPr="00211D94">
        <w:rPr>
          <w:rFonts w:cs="Arial"/>
          <w:szCs w:val="24"/>
        </w:rPr>
        <w:t>”</w:t>
      </w:r>
      <w:r w:rsidRPr="00211D94">
        <w:rPr>
          <w:rFonts w:cs="Arial"/>
          <w:szCs w:val="24"/>
        </w:rPr>
        <w:t xml:space="preserve"> (PI 7d) realizowane </w:t>
      </w:r>
      <w:r w:rsidR="00884807" w:rsidRPr="00211D94">
        <w:rPr>
          <w:rFonts w:cs="Arial"/>
          <w:szCs w:val="24"/>
        </w:rPr>
        <w:t>były</w:t>
      </w:r>
      <w:r w:rsidRPr="00211D94">
        <w:rPr>
          <w:rFonts w:cs="Arial"/>
          <w:szCs w:val="24"/>
        </w:rPr>
        <w:t xml:space="preserve"> </w:t>
      </w:r>
      <w:r w:rsidR="00D903C2" w:rsidRPr="00211D94">
        <w:rPr>
          <w:rFonts w:cs="Arial"/>
          <w:szCs w:val="24"/>
        </w:rPr>
        <w:t xml:space="preserve">dwa wieloletnie projekty </w:t>
      </w:r>
      <w:r w:rsidRPr="00211D94">
        <w:rPr>
          <w:rFonts w:cs="Arial"/>
          <w:szCs w:val="24"/>
        </w:rPr>
        <w:t>przez beneficjenta PKP Polskie Linie Kolejowe S.A.</w:t>
      </w:r>
      <w:r w:rsidR="00DE0708" w:rsidRPr="00211D94">
        <w:rPr>
          <w:rFonts w:cs="Arial"/>
          <w:szCs w:val="24"/>
        </w:rPr>
        <w:t>, w ramach których przebudowano/zmodernizowano 145,1 km linii kolejowych (131,9% wartości docelowej)</w:t>
      </w:r>
      <w:r w:rsidR="00516F11" w:rsidRPr="00211D94">
        <w:rPr>
          <w:rFonts w:cs="Arial"/>
          <w:szCs w:val="24"/>
        </w:rPr>
        <w:t xml:space="preserve"> oraz wsparto 33 dworce/przystanki kolejowe (110% wartości docelowej)</w:t>
      </w:r>
      <w:r w:rsidRPr="00211D94">
        <w:rPr>
          <w:rFonts w:cs="Arial"/>
          <w:szCs w:val="24"/>
        </w:rPr>
        <w:t>:</w:t>
      </w:r>
    </w:p>
    <w:p w14:paraId="24232964" w14:textId="2FBDD590" w:rsidR="007D0568" w:rsidRPr="00211D94" w:rsidRDefault="007D0568" w:rsidP="00F55865">
      <w:pPr>
        <w:numPr>
          <w:ilvl w:val="0"/>
          <w:numId w:val="43"/>
        </w:numPr>
        <w:tabs>
          <w:tab w:val="left" w:pos="432"/>
        </w:tabs>
        <w:spacing w:before="120" w:after="120"/>
        <w:rPr>
          <w:rFonts w:cs="Arial"/>
          <w:szCs w:val="24"/>
        </w:rPr>
      </w:pPr>
      <w:r w:rsidRPr="00211D94">
        <w:rPr>
          <w:rFonts w:cs="Arial"/>
          <w:szCs w:val="24"/>
        </w:rPr>
        <w:t>„Rewitalizacja linii kolejowej nr 207 odcinek granica województwa – Malbork”,</w:t>
      </w:r>
    </w:p>
    <w:p w14:paraId="73F79853" w14:textId="4A5D55A2" w:rsidR="007D0568" w:rsidRPr="00211D94" w:rsidRDefault="007D0568" w:rsidP="00F55865">
      <w:pPr>
        <w:numPr>
          <w:ilvl w:val="0"/>
          <w:numId w:val="43"/>
        </w:numPr>
        <w:tabs>
          <w:tab w:val="left" w:pos="432"/>
        </w:tabs>
        <w:spacing w:before="120" w:after="120"/>
        <w:rPr>
          <w:rFonts w:cs="Arial"/>
          <w:szCs w:val="24"/>
        </w:rPr>
      </w:pPr>
      <w:r w:rsidRPr="00211D94">
        <w:rPr>
          <w:rFonts w:cs="Arial"/>
          <w:szCs w:val="24"/>
        </w:rPr>
        <w:t>„Rewitalizacja linii kolejowej nr 405 odcinek granica województwa -Słupsk – Ustka</w:t>
      </w:r>
      <w:r w:rsidR="00516F11" w:rsidRPr="00211D94">
        <w:rPr>
          <w:rFonts w:cs="Arial"/>
          <w:szCs w:val="24"/>
        </w:rPr>
        <w:t>”</w:t>
      </w:r>
    </w:p>
    <w:p w14:paraId="79AB0D00" w14:textId="75D295AD" w:rsidR="00975F64" w:rsidRPr="00211D94" w:rsidRDefault="007E3FE0" w:rsidP="00F55865">
      <w:pPr>
        <w:tabs>
          <w:tab w:val="left" w:pos="432"/>
        </w:tabs>
        <w:spacing w:before="120" w:after="120"/>
        <w:rPr>
          <w:rFonts w:cs="Arial"/>
          <w:szCs w:val="24"/>
        </w:rPr>
      </w:pPr>
      <w:r w:rsidRPr="00211D94">
        <w:rPr>
          <w:rFonts w:cs="Arial"/>
          <w:szCs w:val="24"/>
        </w:rPr>
        <w:t>Ww. p</w:t>
      </w:r>
      <w:r w:rsidR="00975F64" w:rsidRPr="00211D94">
        <w:rPr>
          <w:rFonts w:cs="Arial"/>
          <w:szCs w:val="24"/>
        </w:rPr>
        <w:t xml:space="preserve">rojekty </w:t>
      </w:r>
      <w:r w:rsidRPr="00211D94">
        <w:rPr>
          <w:rFonts w:cs="Arial"/>
          <w:szCs w:val="24"/>
        </w:rPr>
        <w:t>oraz przedsięwzięcie dotyczące zakupu 10 szt. elektrycznych zespołów trakcyjnych do obsługi przewozów pasażerskich w województwie pomorskim (100% wartości docelowej)</w:t>
      </w:r>
      <w:r w:rsidR="00975F64" w:rsidRPr="00211D94">
        <w:rPr>
          <w:rFonts w:cs="Arial"/>
          <w:szCs w:val="24"/>
        </w:rPr>
        <w:t xml:space="preserve"> zostały wsparte w ramach Poddziałania 9.2.2</w:t>
      </w:r>
      <w:r w:rsidR="00912F0D" w:rsidRPr="00211D94">
        <w:rPr>
          <w:rFonts w:cs="Arial"/>
          <w:szCs w:val="24"/>
        </w:rPr>
        <w:t xml:space="preserve"> w ramach trybu pozakonkursowego (przedsięwzięcia strategiczne określone w R</w:t>
      </w:r>
      <w:r w:rsidR="003D4653" w:rsidRPr="00211D94">
        <w:rPr>
          <w:rFonts w:cs="Arial"/>
          <w:szCs w:val="24"/>
        </w:rPr>
        <w:t xml:space="preserve">egionalnym Programie Strategicznym </w:t>
      </w:r>
      <w:r w:rsidR="003C63E0" w:rsidRPr="00211D94">
        <w:rPr>
          <w:rFonts w:cs="Arial"/>
          <w:szCs w:val="24"/>
        </w:rPr>
        <w:t>„</w:t>
      </w:r>
      <w:r w:rsidR="00912F0D" w:rsidRPr="00211D94">
        <w:rPr>
          <w:rFonts w:cs="Arial"/>
          <w:szCs w:val="24"/>
        </w:rPr>
        <w:t>Mobilne Pomorze</w:t>
      </w:r>
      <w:r w:rsidR="003C63E0" w:rsidRPr="00211D94">
        <w:rPr>
          <w:rFonts w:cs="Arial"/>
          <w:szCs w:val="24"/>
        </w:rPr>
        <w:t>”</w:t>
      </w:r>
      <w:r w:rsidR="00912F0D" w:rsidRPr="00211D94">
        <w:rPr>
          <w:rFonts w:cs="Arial"/>
          <w:szCs w:val="24"/>
        </w:rPr>
        <w:t>)</w:t>
      </w:r>
      <w:r w:rsidRPr="00211D94">
        <w:rPr>
          <w:rFonts w:cs="Arial"/>
          <w:szCs w:val="24"/>
        </w:rPr>
        <w:t>.</w:t>
      </w:r>
      <w:r w:rsidR="00FF1971" w:rsidRPr="00211D94">
        <w:rPr>
          <w:rFonts w:cs="Arial"/>
          <w:szCs w:val="24"/>
        </w:rPr>
        <w:t xml:space="preserve"> Przedsięwzięcia te ukierunkowane na modernizację i rehabilitację infrastruktury liniowej, punktowej (stacje i przystanki kolejowe) oraz towarzyszącej przyczyniły się do poprawy spójności terytorialnej województwa i dostępności do regionalnych i </w:t>
      </w:r>
      <w:proofErr w:type="spellStart"/>
      <w:r w:rsidR="00FF1971" w:rsidRPr="00211D94">
        <w:rPr>
          <w:rFonts w:cs="Arial"/>
          <w:szCs w:val="24"/>
        </w:rPr>
        <w:t>subregionalnych</w:t>
      </w:r>
      <w:proofErr w:type="spellEnd"/>
      <w:r w:rsidR="00FF1971" w:rsidRPr="00211D94">
        <w:rPr>
          <w:rFonts w:cs="Arial"/>
          <w:szCs w:val="24"/>
        </w:rPr>
        <w:t xml:space="preserve"> ośrodków miejskich.</w:t>
      </w:r>
    </w:p>
    <w:p w14:paraId="2644B82D" w14:textId="153D9917" w:rsidR="00DE0708" w:rsidRPr="00211D94" w:rsidRDefault="00975F64" w:rsidP="00F55865">
      <w:pPr>
        <w:tabs>
          <w:tab w:val="left" w:pos="432"/>
        </w:tabs>
        <w:spacing w:before="120" w:after="120"/>
        <w:rPr>
          <w:rFonts w:cs="Arial"/>
          <w:szCs w:val="24"/>
        </w:rPr>
      </w:pPr>
      <w:r w:rsidRPr="00211D94">
        <w:rPr>
          <w:rFonts w:cs="Arial"/>
          <w:szCs w:val="24"/>
        </w:rPr>
        <w:t xml:space="preserve">W wydzielonym Poddziałaniu 9.2.1 dotyczącym ZIT w ramach trybu pozakonkursowego realizowany był projekt dotyczący budowy zintegrowanego systemu monitorowania bezpieczeństwa oraz zarządzania informacją na linii kolejowej nr 250 wraz z modernizacją budynku Dworca Podmiejskiego Gdynia Główna oraz peronów na linii kolejowej nr 250, którego beneficjentem jest PKP Szybka Kolej Miejska w Trójmieście. </w:t>
      </w:r>
      <w:r w:rsidR="004526E5" w:rsidRPr="00211D94">
        <w:rPr>
          <w:rFonts w:cs="Arial"/>
          <w:szCs w:val="24"/>
        </w:rPr>
        <w:t xml:space="preserve">Projekt został uznany za niefunkcjonujący - szczegóły w Załączniku nr II do </w:t>
      </w:r>
      <w:r w:rsidR="00345CDA" w:rsidRPr="00211D94">
        <w:rPr>
          <w:rFonts w:cs="Arial"/>
          <w:szCs w:val="24"/>
        </w:rPr>
        <w:t>sprawozdania</w:t>
      </w:r>
      <w:r w:rsidR="004526E5" w:rsidRPr="00211D94">
        <w:rPr>
          <w:rFonts w:cs="Arial"/>
          <w:szCs w:val="24"/>
        </w:rPr>
        <w:t>.</w:t>
      </w:r>
    </w:p>
    <w:p w14:paraId="7726D6B4" w14:textId="77471CFC" w:rsidR="0069700B" w:rsidRPr="00211D94" w:rsidRDefault="0069700B" w:rsidP="00F55865">
      <w:pPr>
        <w:tabs>
          <w:tab w:val="left" w:pos="432"/>
        </w:tabs>
        <w:spacing w:before="120" w:after="120"/>
        <w:rPr>
          <w:rFonts w:cs="Arial"/>
          <w:szCs w:val="24"/>
        </w:rPr>
      </w:pPr>
      <w:r w:rsidRPr="00211D94">
        <w:rPr>
          <w:rFonts w:cs="Arial"/>
          <w:szCs w:val="24"/>
        </w:rPr>
        <w:t>Jako korzyść interwencji w infrastrukturę kolejową (również węzły integracyjne) można również wskazać zwiększoną dostępność transportu m.in. poprzez budowę nowych przystanków) oraz zwiększenie dostępności obszarów pozamiejskich pod kątem transportowym (zarówno dla mieszkańców tych obszarów, jak i jako cel podróży).</w:t>
      </w:r>
    </w:p>
    <w:p w14:paraId="4B21B3EF" w14:textId="61BEA9B8" w:rsidR="00344287" w:rsidRPr="00211D94" w:rsidRDefault="00344287" w:rsidP="00F55865">
      <w:pPr>
        <w:tabs>
          <w:tab w:val="left" w:pos="432"/>
        </w:tabs>
        <w:spacing w:before="120" w:after="120"/>
        <w:rPr>
          <w:rFonts w:cs="Arial"/>
          <w:szCs w:val="24"/>
        </w:rPr>
      </w:pPr>
      <w:r w:rsidRPr="00211D94">
        <w:rPr>
          <w:rFonts w:cs="Arial"/>
          <w:szCs w:val="24"/>
        </w:rPr>
        <w:t xml:space="preserve">W Działaniu 9.3 </w:t>
      </w:r>
      <w:r w:rsidR="003B5EF9" w:rsidRPr="00211D94">
        <w:rPr>
          <w:rFonts w:cs="Arial"/>
          <w:szCs w:val="24"/>
        </w:rPr>
        <w:t>„</w:t>
      </w:r>
      <w:r w:rsidRPr="00211D94">
        <w:rPr>
          <w:rFonts w:cs="Arial"/>
          <w:szCs w:val="24"/>
        </w:rPr>
        <w:t>Regionalna infrastruktura drogowa</w:t>
      </w:r>
      <w:r w:rsidR="003B5EF9" w:rsidRPr="00211D94">
        <w:rPr>
          <w:rFonts w:cs="Arial"/>
          <w:szCs w:val="24"/>
        </w:rPr>
        <w:t>”</w:t>
      </w:r>
      <w:r w:rsidRPr="00211D94">
        <w:rPr>
          <w:rFonts w:cs="Arial"/>
          <w:szCs w:val="24"/>
        </w:rPr>
        <w:t xml:space="preserve"> (PI 7b) zrealizowano 11 projektów w ramach trybu pozakonkursowego, których beneficjentem był Samorząd Województwa Pomorskiego</w:t>
      </w:r>
      <w:r w:rsidR="0011331A" w:rsidRPr="00211D94">
        <w:rPr>
          <w:rFonts w:cs="Arial"/>
          <w:szCs w:val="24"/>
        </w:rPr>
        <w:t>. Udzielone w</w:t>
      </w:r>
      <w:r w:rsidRPr="00211D94">
        <w:rPr>
          <w:rFonts w:cs="Arial"/>
          <w:szCs w:val="24"/>
        </w:rPr>
        <w:t xml:space="preserve">sparcie miało na celu usprawnienie połączeń drogowych ważnych ośrodków miejskich regionu, a także między ośrodkami a ich otoczeniem funkcjonalnym. </w:t>
      </w:r>
      <w:r w:rsidR="0011331A" w:rsidRPr="00211D94">
        <w:rPr>
          <w:rFonts w:cs="Arial"/>
          <w:szCs w:val="24"/>
        </w:rPr>
        <w:t>W ramach interwencji przebudowano/zmodernizowano 135,8 km dróg (104,4% wartości docelowej) oraz wybudowano 9,8 km nowych dróg (97,5% wartości docelowej,) na które składają się powstałe obwodnice miasta Kartuzy (jako oddzielny projekt) oraz miejscowości Wicko (droga wojewódzka nr 214) i Zaleskie (droga wojewódzka nr 203)</w:t>
      </w:r>
      <w:r w:rsidR="0027569B" w:rsidRPr="00211D94">
        <w:rPr>
          <w:rFonts w:cs="Arial"/>
          <w:szCs w:val="24"/>
        </w:rPr>
        <w:t>, co w</w:t>
      </w:r>
      <w:r w:rsidRPr="00211D94">
        <w:rPr>
          <w:rFonts w:cs="Arial"/>
          <w:szCs w:val="24"/>
        </w:rPr>
        <w:t xml:space="preserve"> konsekwencji spowodowa</w:t>
      </w:r>
      <w:r w:rsidR="0027569B" w:rsidRPr="00211D94">
        <w:rPr>
          <w:rFonts w:cs="Arial"/>
          <w:szCs w:val="24"/>
        </w:rPr>
        <w:t>ło</w:t>
      </w:r>
      <w:r w:rsidRPr="00211D94">
        <w:rPr>
          <w:rFonts w:cs="Arial"/>
          <w:szCs w:val="24"/>
        </w:rPr>
        <w:t xml:space="preserve"> wzrost spójności sieci drogowej w regionie</w:t>
      </w:r>
      <w:r w:rsidR="0027569B" w:rsidRPr="00211D94">
        <w:rPr>
          <w:rFonts w:cs="Arial"/>
          <w:szCs w:val="24"/>
        </w:rPr>
        <w:t>.</w:t>
      </w:r>
    </w:p>
    <w:p w14:paraId="37FBD036" w14:textId="7EEB3D53" w:rsidR="007A7ED8" w:rsidRPr="00211D94" w:rsidRDefault="007A7ED8" w:rsidP="007A7ED8">
      <w:pPr>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D903C2" w:rsidRPr="00211D94">
        <w:rPr>
          <w:rFonts w:cs="Arial"/>
          <w:szCs w:val="24"/>
        </w:rPr>
        <w:t>O</w:t>
      </w:r>
      <w:r w:rsidR="003D4653" w:rsidRPr="00211D94">
        <w:rPr>
          <w:rFonts w:cs="Arial"/>
          <w:szCs w:val="24"/>
        </w:rPr>
        <w:t>P</w:t>
      </w:r>
      <w:r w:rsidRPr="00211D94">
        <w:rPr>
          <w:rFonts w:cs="Arial"/>
          <w:szCs w:val="24"/>
        </w:rPr>
        <w:t>9 RPO WP</w:t>
      </w:r>
      <w:r w:rsidR="00D903C2" w:rsidRPr="00211D94">
        <w:rPr>
          <w:rFonts w:cs="Arial"/>
          <w:szCs w:val="24"/>
        </w:rPr>
        <w:t xml:space="preserve"> I</w:t>
      </w:r>
      <w:r w:rsidRPr="00211D94">
        <w:rPr>
          <w:rFonts w:cs="Arial"/>
          <w:szCs w:val="24"/>
        </w:rPr>
        <w:t>nstytucja Zarządzająca dysponuje danymi głównie za rok 2023. Osiągnięte wartości przedstawiają się następująco:</w:t>
      </w:r>
    </w:p>
    <w:p w14:paraId="526F801B" w14:textId="77777777" w:rsidR="007A7ED8" w:rsidRPr="00211D94" w:rsidRDefault="007A7ED8" w:rsidP="007A7ED8">
      <w:pPr>
        <w:pStyle w:val="Akapitzlist"/>
        <w:numPr>
          <w:ilvl w:val="0"/>
          <w:numId w:val="50"/>
        </w:numPr>
        <w:spacing w:before="120" w:after="120" w:line="276" w:lineRule="auto"/>
        <w:rPr>
          <w:rFonts w:cs="Arial"/>
          <w:szCs w:val="24"/>
        </w:rPr>
      </w:pPr>
      <w:r w:rsidRPr="00211D94">
        <w:rPr>
          <w:rFonts w:cs="Arial"/>
          <w:szCs w:val="24"/>
        </w:rPr>
        <w:t>Przewozy pasażerów komunikacją miejską w ciągu roku – 274,8 mln osób (wartość docelowa: 280 mln osób);</w:t>
      </w:r>
    </w:p>
    <w:p w14:paraId="1A927982" w14:textId="73AA649F" w:rsidR="007A7ED8" w:rsidRPr="00211D94" w:rsidRDefault="009C4152" w:rsidP="007A7ED8">
      <w:pPr>
        <w:pStyle w:val="Akapitzlist"/>
        <w:numPr>
          <w:ilvl w:val="0"/>
          <w:numId w:val="50"/>
        </w:numPr>
        <w:spacing w:before="120" w:after="120" w:line="276" w:lineRule="auto"/>
        <w:rPr>
          <w:rFonts w:cs="Arial"/>
          <w:szCs w:val="24"/>
        </w:rPr>
      </w:pPr>
      <w:r w:rsidRPr="00211D94">
        <w:rPr>
          <w:rFonts w:cs="Arial"/>
          <w:szCs w:val="24"/>
        </w:rPr>
        <w:t xml:space="preserve">Wskaźnik </w:t>
      </w:r>
      <w:r w:rsidR="007A7ED8" w:rsidRPr="00211D94">
        <w:rPr>
          <w:rFonts w:cs="Arial"/>
          <w:szCs w:val="24"/>
        </w:rPr>
        <w:t>Drogow</w:t>
      </w:r>
      <w:r w:rsidRPr="00211D94">
        <w:rPr>
          <w:rFonts w:cs="Arial"/>
          <w:szCs w:val="24"/>
        </w:rPr>
        <w:t>ej</w:t>
      </w:r>
      <w:r w:rsidR="007A7ED8" w:rsidRPr="00211D94">
        <w:rPr>
          <w:rFonts w:cs="Arial"/>
          <w:szCs w:val="24"/>
        </w:rPr>
        <w:t xml:space="preserve"> Dostępnoś</w:t>
      </w:r>
      <w:r w:rsidRPr="00211D94">
        <w:rPr>
          <w:rFonts w:cs="Arial"/>
          <w:szCs w:val="24"/>
        </w:rPr>
        <w:t>ci</w:t>
      </w:r>
      <w:r w:rsidR="007A7ED8" w:rsidRPr="00211D94">
        <w:rPr>
          <w:rFonts w:cs="Arial"/>
          <w:szCs w:val="24"/>
        </w:rPr>
        <w:t xml:space="preserve"> Transportow</w:t>
      </w:r>
      <w:r w:rsidRPr="00211D94">
        <w:rPr>
          <w:rFonts w:cs="Arial"/>
          <w:szCs w:val="24"/>
        </w:rPr>
        <w:t>ej</w:t>
      </w:r>
      <w:r w:rsidR="007A7ED8" w:rsidRPr="00211D94">
        <w:rPr>
          <w:rFonts w:cs="Arial"/>
          <w:szCs w:val="24"/>
        </w:rPr>
        <w:t xml:space="preserve"> – 27,12 (wartość docelowa: 26,43);</w:t>
      </w:r>
    </w:p>
    <w:p w14:paraId="004C20B6" w14:textId="4DCFD22D" w:rsidR="007A7ED8" w:rsidRPr="00211D94" w:rsidRDefault="009C4152" w:rsidP="007A7ED8">
      <w:pPr>
        <w:pStyle w:val="Akapitzlist"/>
        <w:numPr>
          <w:ilvl w:val="0"/>
          <w:numId w:val="50"/>
        </w:numPr>
        <w:spacing w:before="120" w:after="120" w:line="276" w:lineRule="auto"/>
        <w:rPr>
          <w:rFonts w:cs="Arial"/>
          <w:szCs w:val="24"/>
        </w:rPr>
      </w:pPr>
      <w:r w:rsidRPr="00211D94">
        <w:rPr>
          <w:rFonts w:cs="Arial"/>
          <w:szCs w:val="24"/>
        </w:rPr>
        <w:t xml:space="preserve">Wskaźnik </w:t>
      </w:r>
      <w:r w:rsidR="007A7ED8" w:rsidRPr="00211D94">
        <w:rPr>
          <w:rFonts w:cs="Arial"/>
          <w:szCs w:val="24"/>
        </w:rPr>
        <w:t>Kolejow</w:t>
      </w:r>
      <w:r w:rsidRPr="00211D94">
        <w:rPr>
          <w:rFonts w:cs="Arial"/>
          <w:szCs w:val="24"/>
        </w:rPr>
        <w:t>ej</w:t>
      </w:r>
      <w:r w:rsidR="007A7ED8" w:rsidRPr="00211D94">
        <w:rPr>
          <w:rFonts w:cs="Arial"/>
          <w:szCs w:val="24"/>
        </w:rPr>
        <w:t xml:space="preserve"> Dostępnoś</w:t>
      </w:r>
      <w:r w:rsidRPr="00211D94">
        <w:rPr>
          <w:rFonts w:cs="Arial"/>
          <w:szCs w:val="24"/>
        </w:rPr>
        <w:t>ci</w:t>
      </w:r>
      <w:r w:rsidR="007A7ED8" w:rsidRPr="00211D94">
        <w:rPr>
          <w:rFonts w:cs="Arial"/>
          <w:szCs w:val="24"/>
        </w:rPr>
        <w:t xml:space="preserve"> Transportow</w:t>
      </w:r>
      <w:r w:rsidRPr="00211D94">
        <w:rPr>
          <w:rFonts w:cs="Arial"/>
          <w:szCs w:val="24"/>
        </w:rPr>
        <w:t>ej</w:t>
      </w:r>
      <w:r w:rsidR="007A7ED8" w:rsidRPr="00211D94">
        <w:rPr>
          <w:rFonts w:cs="Arial"/>
          <w:szCs w:val="24"/>
        </w:rPr>
        <w:t xml:space="preserve"> – </w:t>
      </w:r>
      <w:r w:rsidR="00FA0863" w:rsidRPr="00211D94">
        <w:rPr>
          <w:rFonts w:cs="Arial"/>
          <w:szCs w:val="24"/>
        </w:rPr>
        <w:t>29,68</w:t>
      </w:r>
      <w:r w:rsidR="007A7ED8" w:rsidRPr="00211D94">
        <w:rPr>
          <w:rFonts w:cs="Arial"/>
          <w:szCs w:val="24"/>
        </w:rPr>
        <w:t xml:space="preserve"> (wartość docelowa: 29,43) – z uwagi na kryzys gospodarczy i spadek poziomu PKB, który jest składową wskaźnika osiągnięto 85,8% wartości docelowej</w:t>
      </w:r>
    </w:p>
    <w:p w14:paraId="038F873D" w14:textId="77777777" w:rsidR="007A7ED8" w:rsidRPr="00211D94" w:rsidRDefault="007A7ED8" w:rsidP="007A7ED8">
      <w:pPr>
        <w:pStyle w:val="Akapitzlist"/>
        <w:numPr>
          <w:ilvl w:val="0"/>
          <w:numId w:val="50"/>
        </w:numPr>
        <w:spacing w:before="120" w:after="120" w:line="276" w:lineRule="auto"/>
        <w:rPr>
          <w:rFonts w:cs="Arial"/>
          <w:szCs w:val="24"/>
        </w:rPr>
      </w:pPr>
      <w:r w:rsidRPr="00211D94">
        <w:rPr>
          <w:rFonts w:cs="Arial"/>
          <w:szCs w:val="24"/>
        </w:rPr>
        <w:t>Liczba pasażerów przewiezionych w ramach kolejowych wojewódzkich przewozów pasażerskich w ciągu roku – 65,6 mln osób (wartość docelowa: 47,0 mln osób);</w:t>
      </w:r>
    </w:p>
    <w:p w14:paraId="3443ED94" w14:textId="77777777" w:rsidR="007A7ED8" w:rsidRPr="00211D94" w:rsidRDefault="007A7ED8" w:rsidP="007A7ED8">
      <w:pPr>
        <w:pStyle w:val="Akapitzlist"/>
        <w:numPr>
          <w:ilvl w:val="0"/>
          <w:numId w:val="50"/>
        </w:numPr>
        <w:spacing w:before="120" w:after="120" w:line="276" w:lineRule="auto"/>
        <w:rPr>
          <w:rFonts w:cs="Arial"/>
          <w:szCs w:val="24"/>
        </w:rPr>
      </w:pPr>
      <w:r w:rsidRPr="00211D94">
        <w:rPr>
          <w:rFonts w:cs="Arial"/>
          <w:szCs w:val="24"/>
        </w:rPr>
        <w:t>Odsetek długości dróg wojewódzkich o dobrym i zadowalającym stanie technicznym – 70,9% (wartość docelowa: 56,3%);</w:t>
      </w:r>
    </w:p>
    <w:p w14:paraId="2CFE1461" w14:textId="77777777" w:rsidR="007A7ED8" w:rsidRPr="00211D94" w:rsidRDefault="007A7ED8" w:rsidP="007A7ED8">
      <w:pPr>
        <w:pStyle w:val="Akapitzlist"/>
        <w:numPr>
          <w:ilvl w:val="0"/>
          <w:numId w:val="50"/>
        </w:numPr>
        <w:spacing w:before="120" w:after="120" w:line="276" w:lineRule="auto"/>
        <w:rPr>
          <w:rFonts w:cs="Arial"/>
          <w:szCs w:val="24"/>
        </w:rPr>
      </w:pPr>
      <w:r w:rsidRPr="00211D94">
        <w:rPr>
          <w:rFonts w:cs="Arial"/>
          <w:szCs w:val="24"/>
        </w:rPr>
        <w:t>Liczba gmin objętych izochroną 60 minut dostępności drogowej do Trójmiasta – 54 gminy (dane za 2022 r., wartość docelowa: 70 gmin).</w:t>
      </w:r>
    </w:p>
    <w:p w14:paraId="2A609715" w14:textId="354F577B" w:rsidR="007A7ED8" w:rsidRPr="00211D94" w:rsidRDefault="00D903C2" w:rsidP="007A7ED8">
      <w:pPr>
        <w:spacing w:before="120" w:after="120"/>
        <w:ind w:left="-219"/>
        <w:rPr>
          <w:rFonts w:cs="Arial"/>
          <w:szCs w:val="24"/>
        </w:rPr>
      </w:pPr>
      <w:r w:rsidRPr="00211D94">
        <w:rPr>
          <w:rFonts w:cs="Arial"/>
          <w:szCs w:val="24"/>
        </w:rPr>
        <w:t>OP</w:t>
      </w:r>
      <w:r w:rsidR="007A7ED8" w:rsidRPr="00211D94">
        <w:rPr>
          <w:rFonts w:cs="Arial"/>
          <w:szCs w:val="24"/>
        </w:rPr>
        <w:t>9 osiągnęła bardzo dobre rezultaty w obszarze infrastruktury transportowej i mobilności, pomimo niekorzystnych czynników zewnętrznych, takich jak pandemia COVID-19 oraz agresja Rosji na Ukrainę.</w:t>
      </w:r>
    </w:p>
    <w:p w14:paraId="5690C78C" w14:textId="77777777" w:rsidR="007A7ED8" w:rsidRPr="00211D94" w:rsidRDefault="007A7ED8" w:rsidP="007A7ED8">
      <w:pPr>
        <w:spacing w:before="120" w:after="120"/>
        <w:ind w:left="-219"/>
        <w:rPr>
          <w:rFonts w:cs="Arial"/>
          <w:szCs w:val="24"/>
        </w:rPr>
      </w:pPr>
      <w:r w:rsidRPr="00211D94">
        <w:rPr>
          <w:rFonts w:cs="Arial"/>
          <w:szCs w:val="24"/>
        </w:rPr>
        <w:t>Wskaźniki dotyczące transportu kolejowego i drogowego potwierdzają wysoki poziom modernizacji infrastruktury, poprawę jakości dróg oraz zwiększenie liczby pasażerów korzystających z kolei – co wpisuje się w cele zrównoważonej mobilności regionalnej.</w:t>
      </w:r>
    </w:p>
    <w:p w14:paraId="0B442FED" w14:textId="35FF37F6" w:rsidR="007A7ED8" w:rsidRPr="00211D94" w:rsidRDefault="007A7ED8" w:rsidP="007A7ED8">
      <w:pPr>
        <w:spacing w:before="120" w:after="120"/>
        <w:ind w:left="-219"/>
        <w:rPr>
          <w:rFonts w:cs="Arial"/>
          <w:szCs w:val="24"/>
        </w:rPr>
      </w:pPr>
      <w:r w:rsidRPr="00211D94">
        <w:rPr>
          <w:rFonts w:cs="Arial"/>
          <w:szCs w:val="24"/>
        </w:rPr>
        <w:t>Przewozy pasażerów komunikacją miejską nieznacznie odbiegają od wartości docelow</w:t>
      </w:r>
      <w:r w:rsidR="00D114C5" w:rsidRPr="00211D94">
        <w:rPr>
          <w:rFonts w:cs="Arial"/>
          <w:szCs w:val="24"/>
        </w:rPr>
        <w:t>ej</w:t>
      </w:r>
      <w:r w:rsidRPr="00211D94">
        <w:rPr>
          <w:rFonts w:cs="Arial"/>
          <w:szCs w:val="24"/>
        </w:rPr>
        <w:t xml:space="preserve">, co można tłumaczyć ograniczeniami w ruchu pasażerskim w latach 2020–2021 oraz zmianami </w:t>
      </w:r>
      <w:proofErr w:type="spellStart"/>
      <w:r w:rsidRPr="00211D94">
        <w:rPr>
          <w:rFonts w:cs="Arial"/>
          <w:szCs w:val="24"/>
        </w:rPr>
        <w:t>zachowań</w:t>
      </w:r>
      <w:proofErr w:type="spellEnd"/>
      <w:r w:rsidRPr="00211D94">
        <w:rPr>
          <w:rFonts w:cs="Arial"/>
          <w:szCs w:val="24"/>
        </w:rPr>
        <w:t xml:space="preserve"> komunikacyjnych po pandemii.</w:t>
      </w:r>
    </w:p>
    <w:p w14:paraId="51EF3BA9" w14:textId="1BFC79D1" w:rsidR="007A7ED8" w:rsidRPr="00211D94" w:rsidRDefault="007A7ED8" w:rsidP="007A7ED8">
      <w:pPr>
        <w:spacing w:before="120" w:after="120"/>
        <w:ind w:left="-219"/>
        <w:rPr>
          <w:rFonts w:cs="Arial"/>
          <w:szCs w:val="24"/>
        </w:rPr>
      </w:pPr>
      <w:r w:rsidRPr="00211D94">
        <w:rPr>
          <w:rFonts w:cs="Arial"/>
          <w:szCs w:val="24"/>
        </w:rPr>
        <w:t xml:space="preserve">Odsetek dróg wojewódzkich </w:t>
      </w:r>
      <w:r w:rsidR="00D114C5" w:rsidRPr="00211D94">
        <w:rPr>
          <w:rFonts w:cs="Arial"/>
          <w:szCs w:val="24"/>
        </w:rPr>
        <w:t xml:space="preserve">o </w:t>
      </w:r>
      <w:r w:rsidRPr="00211D94">
        <w:rPr>
          <w:rFonts w:cs="Arial"/>
          <w:szCs w:val="24"/>
        </w:rPr>
        <w:t xml:space="preserve">dobrym </w:t>
      </w:r>
      <w:r w:rsidR="00D114C5" w:rsidRPr="00211D94">
        <w:rPr>
          <w:rFonts w:cs="Arial"/>
          <w:szCs w:val="24"/>
        </w:rPr>
        <w:t xml:space="preserve">i zadawalającym </w:t>
      </w:r>
      <w:r w:rsidRPr="00211D94">
        <w:rPr>
          <w:rFonts w:cs="Arial"/>
          <w:szCs w:val="24"/>
        </w:rPr>
        <w:t>stanie technicznym (70,9%) oraz liczba pasażerów kolei (65,6 mln) znacząco przekraczają wartości docelowe, potwierdzając skuteczność inwestycji infrastrukturalnych współfinansowanych z funduszy UE.</w:t>
      </w:r>
    </w:p>
    <w:p w14:paraId="1EB5510D" w14:textId="0E00F40A" w:rsidR="007A7ED8" w:rsidRPr="00211D94" w:rsidRDefault="007A7ED8" w:rsidP="007A7ED8">
      <w:pPr>
        <w:spacing w:before="120" w:after="120"/>
        <w:ind w:left="-219"/>
        <w:rPr>
          <w:rFonts w:cs="Arial"/>
          <w:szCs w:val="24"/>
        </w:rPr>
      </w:pPr>
      <w:r w:rsidRPr="00211D94">
        <w:rPr>
          <w:rFonts w:cs="Arial"/>
          <w:szCs w:val="24"/>
        </w:rPr>
        <w:t xml:space="preserve">Ogólny poziom realizacji celów rezultatu dla </w:t>
      </w:r>
      <w:r w:rsidR="00D903C2" w:rsidRPr="00211D94">
        <w:rPr>
          <w:rFonts w:cs="Arial"/>
          <w:szCs w:val="24"/>
        </w:rPr>
        <w:t>OP</w:t>
      </w:r>
      <w:r w:rsidRPr="00211D94">
        <w:rPr>
          <w:rFonts w:cs="Arial"/>
          <w:szCs w:val="24"/>
        </w:rPr>
        <w:t>9 należy ocenić jako bardzo dobry. Region pomorski znacząco poprawił dostępność transportową, jakość infrastruktury i mobilność mieszkańców, co przekłada się na większą spójność terytorialną i atrakcyjność inwestycyjną Pomorza.</w:t>
      </w:r>
    </w:p>
    <w:p w14:paraId="65C85D75" w14:textId="77777777" w:rsidR="004526E5" w:rsidRPr="00211D94" w:rsidRDefault="004526E5" w:rsidP="00F55865">
      <w:pPr>
        <w:tabs>
          <w:tab w:val="left" w:pos="432"/>
        </w:tabs>
        <w:spacing w:before="120" w:after="120"/>
        <w:rPr>
          <w:rFonts w:cs="Arial"/>
          <w:szCs w:val="24"/>
        </w:rPr>
      </w:pPr>
    </w:p>
    <w:p w14:paraId="2FF3A8F5" w14:textId="77777777" w:rsidR="007D0568" w:rsidRPr="00211D94" w:rsidRDefault="007D0568" w:rsidP="00F55865">
      <w:pPr>
        <w:pStyle w:val="Nagwek2"/>
        <w:spacing w:before="120" w:after="120"/>
        <w:rPr>
          <w:rFonts w:cs="Arial"/>
          <w:color w:val="FFFFFF" w:themeColor="background1"/>
          <w:sz w:val="24"/>
          <w:szCs w:val="24"/>
          <w:lang w:eastAsia="pl-PL"/>
        </w:rPr>
      </w:pPr>
      <w:bookmarkStart w:id="160" w:name="_Toc484443230"/>
      <w:bookmarkStart w:id="161" w:name="_Toc9418247"/>
      <w:bookmarkStart w:id="162" w:name="_Toc214025290"/>
      <w:r w:rsidRPr="00211D94">
        <w:rPr>
          <w:rFonts w:cs="Arial"/>
          <w:color w:val="FFFFFF" w:themeColor="background1"/>
          <w:sz w:val="24"/>
          <w:szCs w:val="24"/>
          <w:lang w:eastAsia="pl-PL"/>
        </w:rPr>
        <w:t>OP10. ENERGIA</w:t>
      </w:r>
      <w:bookmarkEnd w:id="160"/>
      <w:bookmarkEnd w:id="161"/>
      <w:bookmarkEnd w:id="162"/>
    </w:p>
    <w:tbl>
      <w:tblPr>
        <w:tblW w:w="0" w:type="auto"/>
        <w:tblLook w:val="04A0" w:firstRow="1" w:lastRow="0" w:firstColumn="1" w:lastColumn="0" w:noHBand="0" w:noVBand="1"/>
      </w:tblPr>
      <w:tblGrid>
        <w:gridCol w:w="1544"/>
        <w:gridCol w:w="7528"/>
      </w:tblGrid>
      <w:tr w:rsidR="007D0568" w:rsidRPr="00211D94" w14:paraId="563C5EF5" w14:textId="77777777" w:rsidTr="00756D1A">
        <w:tc>
          <w:tcPr>
            <w:tcW w:w="1544" w:type="dxa"/>
            <w:shd w:val="clear" w:color="auto" w:fill="auto"/>
          </w:tcPr>
          <w:p w14:paraId="31A5880F" w14:textId="0DA3290F"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647C5AAE" wp14:editId="583A4012">
                  <wp:extent cx="843280" cy="795655"/>
                  <wp:effectExtent l="0" t="0" r="0" b="4445"/>
                  <wp:docPr id="19" name="Obraz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795655"/>
                          </a:xfrm>
                          <a:prstGeom prst="rect">
                            <a:avLst/>
                          </a:prstGeom>
                          <a:noFill/>
                          <a:ln>
                            <a:noFill/>
                          </a:ln>
                        </pic:spPr>
                      </pic:pic>
                    </a:graphicData>
                  </a:graphic>
                </wp:inline>
              </w:drawing>
            </w:r>
          </w:p>
        </w:tc>
        <w:tc>
          <w:tcPr>
            <w:tcW w:w="7528" w:type="dxa"/>
            <w:shd w:val="clear" w:color="auto" w:fill="auto"/>
          </w:tcPr>
          <w:p w14:paraId="3661851C" w14:textId="2AA1397C" w:rsidR="007D0568" w:rsidRPr="00211D94" w:rsidRDefault="007D0568" w:rsidP="00F55865">
            <w:pPr>
              <w:spacing w:before="120" w:after="120"/>
              <w:rPr>
                <w:rFonts w:cs="Arial"/>
                <w:b/>
                <w:szCs w:val="24"/>
              </w:rPr>
            </w:pPr>
            <w:r w:rsidRPr="00211D94">
              <w:rPr>
                <w:rFonts w:cs="Arial"/>
                <w:szCs w:val="24"/>
              </w:rPr>
              <w:t>OP10 odpowiada</w:t>
            </w:r>
            <w:r w:rsidR="00D114C5" w:rsidRPr="00211D94">
              <w:rPr>
                <w:rFonts w:cs="Arial"/>
                <w:szCs w:val="24"/>
              </w:rPr>
              <w:t>ła</w:t>
            </w:r>
            <w:r w:rsidRPr="00211D94">
              <w:rPr>
                <w:rFonts w:cs="Arial"/>
                <w:szCs w:val="24"/>
              </w:rPr>
              <w:t xml:space="preserve"> na wyzwania dotyczące wykorzystania potencjału posiadanych zasobów dla poprawy bezpieczeństwa dostaw energii, racjonalizacji zużycia energii oraz redukcji środowiskowych oddziaływań związanych z jej produkcją poprzez inwestycje skupiające się na efektywności energetycznej, odnawialnych źródłach energii i redukcji emisji.</w:t>
            </w:r>
          </w:p>
        </w:tc>
      </w:tr>
    </w:tbl>
    <w:p w14:paraId="1E65EFA0"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6513CA66" w14:textId="4C9DD1E9" w:rsidR="007D0568" w:rsidRPr="00211D94" w:rsidRDefault="007D0568" w:rsidP="00F55865">
      <w:pPr>
        <w:tabs>
          <w:tab w:val="left" w:pos="432"/>
        </w:tabs>
        <w:spacing w:before="120" w:after="120"/>
        <w:rPr>
          <w:rFonts w:cs="Arial"/>
          <w:szCs w:val="24"/>
        </w:rPr>
      </w:pPr>
      <w:r w:rsidRPr="00211D94">
        <w:rPr>
          <w:rFonts w:cs="Arial"/>
          <w:szCs w:val="24"/>
        </w:rPr>
        <w:t xml:space="preserve">W ramach OP10. </w:t>
      </w:r>
      <w:r w:rsidR="003B5EF9" w:rsidRPr="00211D94">
        <w:rPr>
          <w:rFonts w:cs="Arial"/>
          <w:szCs w:val="24"/>
        </w:rPr>
        <w:t>„</w:t>
      </w:r>
      <w:r w:rsidRPr="00211D94">
        <w:rPr>
          <w:rFonts w:cs="Arial"/>
          <w:szCs w:val="24"/>
        </w:rPr>
        <w:t>Energia</w:t>
      </w:r>
      <w:r w:rsidR="003B5EF9" w:rsidRPr="00211D94">
        <w:rPr>
          <w:rFonts w:cs="Arial"/>
          <w:szCs w:val="24"/>
        </w:rPr>
        <w:t>”</w:t>
      </w:r>
      <w:r w:rsidRPr="00211D94">
        <w:rPr>
          <w:rFonts w:cs="Arial"/>
          <w:szCs w:val="24"/>
        </w:rPr>
        <w:t xml:space="preserve"> zawarto </w:t>
      </w:r>
      <w:r w:rsidRPr="00211D94">
        <w:rPr>
          <w:rFonts w:cs="Arial"/>
          <w:b/>
          <w:szCs w:val="24"/>
        </w:rPr>
        <w:t>1</w:t>
      </w:r>
      <w:r w:rsidR="005D1187" w:rsidRPr="00211D94">
        <w:rPr>
          <w:rFonts w:cs="Arial"/>
          <w:b/>
          <w:szCs w:val="24"/>
        </w:rPr>
        <w:t>47</w:t>
      </w:r>
      <w:r w:rsidRPr="00211D94">
        <w:rPr>
          <w:rFonts w:cs="Arial"/>
          <w:b/>
          <w:szCs w:val="24"/>
        </w:rPr>
        <w:t xml:space="preserve"> </w:t>
      </w:r>
      <w:r w:rsidRPr="00211D94">
        <w:rPr>
          <w:rFonts w:cs="Arial"/>
          <w:szCs w:val="24"/>
        </w:rPr>
        <w:t xml:space="preserve">umów na kwotę </w:t>
      </w:r>
      <w:r w:rsidR="005D1187" w:rsidRPr="00211D94">
        <w:rPr>
          <w:rFonts w:cs="Arial"/>
          <w:b/>
          <w:szCs w:val="24"/>
        </w:rPr>
        <w:t>361 955 118 EUR</w:t>
      </w:r>
      <w:r w:rsidRPr="00211D94">
        <w:rPr>
          <w:rFonts w:cs="Arial"/>
          <w:szCs w:val="24"/>
        </w:rPr>
        <w:t xml:space="preserve">, w tym dofinansowanie UE </w:t>
      </w:r>
      <w:bookmarkStart w:id="163" w:name="_Hlk212740852"/>
      <w:r w:rsidR="005D1187" w:rsidRPr="00211D94">
        <w:rPr>
          <w:rFonts w:cs="Arial"/>
          <w:b/>
          <w:szCs w:val="24"/>
        </w:rPr>
        <w:t xml:space="preserve">232 005 819 </w:t>
      </w:r>
      <w:r w:rsidRPr="00211D94">
        <w:rPr>
          <w:rFonts w:cs="Arial"/>
          <w:b/>
          <w:szCs w:val="24"/>
        </w:rPr>
        <w:t>EUR</w:t>
      </w:r>
      <w:bookmarkEnd w:id="163"/>
      <w:r w:rsidRPr="00211D94">
        <w:rPr>
          <w:rFonts w:cs="Arial"/>
          <w:szCs w:val="24"/>
        </w:rPr>
        <w:t xml:space="preserve">. Tym samym kontraktacja w tej Osi została osiągnięta na poziomie </w:t>
      </w:r>
      <w:r w:rsidR="005D1187" w:rsidRPr="00211D94">
        <w:rPr>
          <w:rFonts w:cs="Arial"/>
          <w:b/>
          <w:szCs w:val="24"/>
        </w:rPr>
        <w:t>103,8</w:t>
      </w:r>
      <w:r w:rsidRPr="00211D94">
        <w:rPr>
          <w:rFonts w:cs="Arial"/>
          <w:b/>
          <w:szCs w:val="24"/>
        </w:rPr>
        <w:t>%</w:t>
      </w:r>
      <w:r w:rsidRPr="00211D94">
        <w:rPr>
          <w:rFonts w:cs="Arial"/>
          <w:szCs w:val="24"/>
        </w:rPr>
        <w:t xml:space="preserve"> alokacji przeznaczonej na realizację OP10.</w:t>
      </w:r>
    </w:p>
    <w:p w14:paraId="43488C63" w14:textId="32CDA7AB"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B01744">
        <w:rPr>
          <w:rFonts w:cs="Arial"/>
          <w:szCs w:val="24"/>
        </w:rPr>
        <w:t xml:space="preserve"> </w:t>
      </w:r>
      <w:r w:rsidRPr="00211D94">
        <w:rPr>
          <w:rFonts w:cs="Arial"/>
          <w:szCs w:val="24"/>
        </w:rPr>
        <w:t xml:space="preserve">wydatki na kwotę </w:t>
      </w:r>
      <w:bookmarkStart w:id="164" w:name="_Hlk211683814"/>
      <w:r w:rsidR="005D1187" w:rsidRPr="00211D94">
        <w:rPr>
          <w:rFonts w:cs="Arial"/>
          <w:b/>
          <w:szCs w:val="24"/>
        </w:rPr>
        <w:t xml:space="preserve">304 128 129 </w:t>
      </w:r>
      <w:r w:rsidRPr="00211D94">
        <w:rPr>
          <w:rFonts w:cs="Arial"/>
          <w:b/>
          <w:szCs w:val="24"/>
        </w:rPr>
        <w:t>EUR</w:t>
      </w:r>
      <w:r w:rsidRPr="00211D94">
        <w:rPr>
          <w:rFonts w:cs="Arial"/>
          <w:szCs w:val="24"/>
        </w:rPr>
        <w:t xml:space="preserve">, w tym </w:t>
      </w:r>
      <w:r w:rsidR="005D1187" w:rsidRPr="00211D94">
        <w:rPr>
          <w:rFonts w:cs="Arial"/>
          <w:b/>
          <w:szCs w:val="24"/>
        </w:rPr>
        <w:t xml:space="preserve">231 805 495 </w:t>
      </w:r>
      <w:r w:rsidRPr="00211D94">
        <w:rPr>
          <w:rFonts w:cs="Arial"/>
          <w:b/>
          <w:szCs w:val="24"/>
        </w:rPr>
        <w:t>EUR</w:t>
      </w:r>
      <w:r w:rsidRPr="00211D94">
        <w:rPr>
          <w:rFonts w:cs="Arial"/>
          <w:szCs w:val="24"/>
        </w:rPr>
        <w:t xml:space="preserve"> dofinansowania UE, co stanowi </w:t>
      </w:r>
      <w:r w:rsidR="005D1187" w:rsidRPr="00211D94">
        <w:rPr>
          <w:rFonts w:cs="Arial"/>
          <w:b/>
          <w:szCs w:val="24"/>
        </w:rPr>
        <w:t>103,7</w:t>
      </w:r>
      <w:r w:rsidRPr="00211D94">
        <w:rPr>
          <w:rFonts w:cs="Arial"/>
          <w:b/>
          <w:szCs w:val="24"/>
        </w:rPr>
        <w:t>%</w:t>
      </w:r>
      <w:bookmarkEnd w:id="164"/>
      <w:r w:rsidRPr="00211D94">
        <w:rPr>
          <w:rFonts w:cs="Arial"/>
          <w:b/>
          <w:szCs w:val="24"/>
        </w:rPr>
        <w:t xml:space="preserve"> </w:t>
      </w:r>
      <w:r w:rsidRPr="00211D94">
        <w:rPr>
          <w:rFonts w:cs="Arial"/>
          <w:szCs w:val="24"/>
        </w:rPr>
        <w:t xml:space="preserve">przeznaczonej na OP10 alokacji. </w:t>
      </w:r>
    </w:p>
    <w:p w14:paraId="673E52BD" w14:textId="40E79E0F" w:rsidR="007D0568" w:rsidRPr="00211D94" w:rsidRDefault="007D0568" w:rsidP="00F55865">
      <w:pPr>
        <w:spacing w:before="120" w:after="120"/>
        <w:rPr>
          <w:rFonts w:cs="Arial"/>
          <w:szCs w:val="24"/>
        </w:rPr>
      </w:pPr>
      <w:r w:rsidRPr="00211D94">
        <w:rPr>
          <w:rFonts w:cs="Arial"/>
          <w:szCs w:val="24"/>
        </w:rPr>
        <w:t xml:space="preserve">Dla OP10 określono w odniesieniu do ram wykonania </w:t>
      </w:r>
      <w:r w:rsidR="00D114C5" w:rsidRPr="00211D94">
        <w:rPr>
          <w:rFonts w:cs="Arial"/>
          <w:szCs w:val="24"/>
        </w:rPr>
        <w:t>dwa</w:t>
      </w:r>
      <w:r w:rsidRPr="00211D94">
        <w:rPr>
          <w:rFonts w:cs="Arial"/>
          <w:szCs w:val="24"/>
        </w:rPr>
        <w:t xml:space="preserve"> wskaźniki – wskaźnik produktu i wskaźnik finansowy tj.:</w:t>
      </w:r>
    </w:p>
    <w:p w14:paraId="04AE5EDE" w14:textId="1CDA7CE9" w:rsidR="00B1118F"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zmodernizowanych energetycznie budynków</w:t>
      </w:r>
      <w:r w:rsidRPr="00211D94">
        <w:rPr>
          <w:rFonts w:cs="Arial"/>
          <w:szCs w:val="24"/>
        </w:rPr>
        <w:t>”</w:t>
      </w:r>
      <w:r w:rsidR="007D0568" w:rsidRPr="00211D94">
        <w:rPr>
          <w:rFonts w:cs="Arial"/>
          <w:szCs w:val="24"/>
        </w:rPr>
        <w:t xml:space="preserve">, dla którego osiągnięto wartość </w:t>
      </w:r>
      <w:r w:rsidR="00B1118F" w:rsidRPr="00211D94">
        <w:rPr>
          <w:rFonts w:cs="Arial"/>
          <w:szCs w:val="24"/>
        </w:rPr>
        <w:t>769 </w:t>
      </w:r>
      <w:r w:rsidR="007D0568" w:rsidRPr="00211D94">
        <w:rPr>
          <w:rFonts w:cs="Arial"/>
          <w:szCs w:val="24"/>
        </w:rPr>
        <w:t xml:space="preserve">szt., co stanowi </w:t>
      </w:r>
      <w:r w:rsidR="00B1118F" w:rsidRPr="00211D94">
        <w:rPr>
          <w:rFonts w:cs="Arial"/>
          <w:szCs w:val="24"/>
        </w:rPr>
        <w:t>128,2</w:t>
      </w:r>
      <w:r w:rsidR="007D0568" w:rsidRPr="00211D94">
        <w:rPr>
          <w:rFonts w:cs="Arial"/>
          <w:szCs w:val="24"/>
        </w:rPr>
        <w:t xml:space="preserve">% celu końcowego (2023 r.), </w:t>
      </w:r>
    </w:p>
    <w:p w14:paraId="59F5118E" w14:textId="3D1FA872"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B1118F" w:rsidRPr="00211D94">
        <w:rPr>
          <w:rFonts w:cs="Arial"/>
          <w:szCs w:val="24"/>
        </w:rPr>
        <w:t xml:space="preserve">313 793 281 </w:t>
      </w:r>
      <w:r w:rsidRPr="00211D94">
        <w:rPr>
          <w:rFonts w:cs="Arial"/>
          <w:szCs w:val="24"/>
        </w:rPr>
        <w:t xml:space="preserve">EUR – co powoduje, że </w:t>
      </w:r>
      <w:r w:rsidR="00B1118F" w:rsidRPr="00211D94">
        <w:rPr>
          <w:rFonts w:cs="Arial"/>
          <w:szCs w:val="24"/>
        </w:rPr>
        <w:t xml:space="preserve">cel końcowy (2023r.) </w:t>
      </w:r>
      <w:r w:rsidRPr="00211D94">
        <w:rPr>
          <w:rFonts w:cs="Arial"/>
          <w:szCs w:val="24"/>
        </w:rPr>
        <w:t xml:space="preserve">został osiągnięty na poziomie </w:t>
      </w:r>
      <w:r w:rsidR="00B1118F" w:rsidRPr="00211D94">
        <w:rPr>
          <w:rFonts w:cs="Arial"/>
          <w:szCs w:val="24"/>
        </w:rPr>
        <w:t>119,3</w:t>
      </w:r>
      <w:r w:rsidRPr="00211D94">
        <w:rPr>
          <w:rFonts w:cs="Arial"/>
          <w:szCs w:val="24"/>
        </w:rPr>
        <w:t>%</w:t>
      </w:r>
      <w:r w:rsidR="00B1118F" w:rsidRPr="00211D94">
        <w:rPr>
          <w:rFonts w:cs="Arial"/>
          <w:szCs w:val="24"/>
        </w:rPr>
        <w:t>.</w:t>
      </w:r>
      <w:r w:rsidR="00775AC1" w:rsidRPr="00211D94">
        <w:rPr>
          <w:rFonts w:cs="Arial"/>
          <w:szCs w:val="24"/>
        </w:rPr>
        <w:t xml:space="preserve"> </w:t>
      </w:r>
      <w:r w:rsidR="00A51349" w:rsidRPr="00211D94">
        <w:rPr>
          <w:rFonts w:cs="Arial"/>
          <w:szCs w:val="24"/>
        </w:rPr>
        <w:t>Wskaźnik finansowy obejmuje wydatki kwalifikowalne przekazane do KE.</w:t>
      </w:r>
    </w:p>
    <w:p w14:paraId="190ED71C" w14:textId="0C6B9089" w:rsidR="00154F41" w:rsidRPr="00211D94" w:rsidRDefault="00154F41" w:rsidP="00F55865">
      <w:pPr>
        <w:tabs>
          <w:tab w:val="left" w:pos="432"/>
        </w:tabs>
        <w:spacing w:before="120" w:after="120"/>
        <w:rPr>
          <w:rFonts w:cs="Arial"/>
          <w:szCs w:val="24"/>
        </w:rPr>
      </w:pPr>
      <w:r w:rsidRPr="00211D94">
        <w:rPr>
          <w:rFonts w:cs="Arial"/>
          <w:szCs w:val="24"/>
        </w:rPr>
        <w:t xml:space="preserve">Priorytet inwestycyjny 4c „Wspieranie efektywności energetycznej, inteligentnego zarządzania energią i wykorzystania odnawialnych źródeł energii w infrastrukturze publicznej, w tym w budynkach publicznych i w sektorze mieszkaniowym” wdrażany był w RPO WP w ramach 3 działań: </w:t>
      </w:r>
    </w:p>
    <w:p w14:paraId="695F1A32" w14:textId="6CB6E1D1" w:rsidR="00154F41" w:rsidRPr="00211D94" w:rsidRDefault="00154F41" w:rsidP="00F55865">
      <w:pPr>
        <w:pStyle w:val="Akapitzlist"/>
        <w:numPr>
          <w:ilvl w:val="0"/>
          <w:numId w:val="61"/>
        </w:numPr>
        <w:tabs>
          <w:tab w:val="left" w:pos="432"/>
        </w:tabs>
        <w:spacing w:before="120" w:after="120" w:line="276" w:lineRule="auto"/>
        <w:rPr>
          <w:rFonts w:cs="Arial"/>
          <w:szCs w:val="24"/>
        </w:rPr>
      </w:pPr>
      <w:r w:rsidRPr="00211D94">
        <w:rPr>
          <w:rFonts w:cs="Arial"/>
          <w:szCs w:val="24"/>
        </w:rPr>
        <w:t>1</w:t>
      </w:r>
      <w:r w:rsidRPr="00211D94">
        <w:rPr>
          <w:rFonts w:cs="Arial"/>
          <w:bCs/>
          <w:szCs w:val="24"/>
        </w:rPr>
        <w:t>0.1</w:t>
      </w:r>
      <w:r w:rsidR="00BF3C2E" w:rsidRPr="00211D94">
        <w:rPr>
          <w:rFonts w:cs="Arial"/>
          <w:bCs/>
          <w:szCs w:val="24"/>
        </w:rPr>
        <w:t>.</w:t>
      </w:r>
      <w:r w:rsidRPr="00211D94">
        <w:rPr>
          <w:rFonts w:cs="Arial"/>
          <w:bCs/>
          <w:szCs w:val="24"/>
        </w:rPr>
        <w:t xml:space="preserve"> </w:t>
      </w:r>
      <w:r w:rsidR="003B5EF9" w:rsidRPr="00211D94">
        <w:rPr>
          <w:rFonts w:cs="Arial"/>
          <w:bCs/>
          <w:szCs w:val="24"/>
        </w:rPr>
        <w:t>„</w:t>
      </w:r>
      <w:r w:rsidRPr="00211D94">
        <w:rPr>
          <w:rFonts w:cs="Arial"/>
          <w:szCs w:val="24"/>
        </w:rPr>
        <w:t xml:space="preserve">Efektywność energetyczna – mechanizm ZIT – </w:t>
      </w:r>
      <w:r w:rsidRPr="00211D94">
        <w:rPr>
          <w:rFonts w:cs="Arial"/>
          <w:bCs/>
          <w:szCs w:val="24"/>
        </w:rPr>
        <w:t>wsparcie dotacyjne</w:t>
      </w:r>
      <w:r w:rsidR="003B5EF9" w:rsidRPr="00211D94">
        <w:rPr>
          <w:rFonts w:cs="Arial"/>
          <w:bCs/>
          <w:szCs w:val="24"/>
        </w:rPr>
        <w:t>”</w:t>
      </w:r>
      <w:r w:rsidRPr="00211D94">
        <w:rPr>
          <w:rFonts w:cs="Arial"/>
          <w:szCs w:val="24"/>
        </w:rPr>
        <w:t xml:space="preserve">, w którym projekty były wybierane w trybie pozakonkursowym; </w:t>
      </w:r>
    </w:p>
    <w:p w14:paraId="007CE5E1" w14:textId="4689E736" w:rsidR="00154F41" w:rsidRPr="00211D94" w:rsidRDefault="00154F41" w:rsidP="00F55865">
      <w:pPr>
        <w:pStyle w:val="Akapitzlist"/>
        <w:numPr>
          <w:ilvl w:val="0"/>
          <w:numId w:val="61"/>
        </w:numPr>
        <w:tabs>
          <w:tab w:val="left" w:pos="432"/>
        </w:tabs>
        <w:spacing w:before="120" w:after="120" w:line="276" w:lineRule="auto"/>
        <w:rPr>
          <w:rFonts w:cs="Arial"/>
          <w:szCs w:val="24"/>
        </w:rPr>
      </w:pPr>
      <w:r w:rsidRPr="00211D94">
        <w:rPr>
          <w:rFonts w:cs="Arial"/>
          <w:bCs/>
          <w:szCs w:val="24"/>
        </w:rPr>
        <w:t>10.2</w:t>
      </w:r>
      <w:r w:rsidR="00BF3C2E" w:rsidRPr="00211D94">
        <w:rPr>
          <w:rFonts w:cs="Arial"/>
          <w:bCs/>
          <w:szCs w:val="24"/>
        </w:rPr>
        <w:t xml:space="preserve">. </w:t>
      </w:r>
      <w:r w:rsidR="003B5EF9" w:rsidRPr="00211D94">
        <w:rPr>
          <w:rFonts w:cs="Arial"/>
          <w:bCs/>
          <w:szCs w:val="24"/>
        </w:rPr>
        <w:t>„</w:t>
      </w:r>
      <w:r w:rsidRPr="00211D94">
        <w:rPr>
          <w:rFonts w:cs="Arial"/>
          <w:szCs w:val="24"/>
        </w:rPr>
        <w:t xml:space="preserve">Efektywność energetyczna – </w:t>
      </w:r>
      <w:r w:rsidRPr="00211D94">
        <w:rPr>
          <w:rFonts w:cs="Arial"/>
          <w:bCs/>
          <w:szCs w:val="24"/>
        </w:rPr>
        <w:t>wsparcie dotacyjne</w:t>
      </w:r>
      <w:r w:rsidR="003B5EF9" w:rsidRPr="00211D94">
        <w:rPr>
          <w:rFonts w:cs="Arial"/>
          <w:bCs/>
          <w:szCs w:val="24"/>
        </w:rPr>
        <w:t>”</w:t>
      </w:r>
      <w:r w:rsidRPr="00211D94">
        <w:rPr>
          <w:rFonts w:cs="Arial"/>
          <w:bCs/>
          <w:szCs w:val="24"/>
        </w:rPr>
        <w:t xml:space="preserve">, </w:t>
      </w:r>
      <w:r w:rsidRPr="00211D94">
        <w:rPr>
          <w:rFonts w:cs="Arial"/>
          <w:szCs w:val="24"/>
        </w:rPr>
        <w:t>w którym projekty były wybierane w trybie konkursowym, z wyjątkiem projektów realizowanych w ramach przedsięwzięcia strategicznego pn. „Termomodernizacja obiektów Samorządu Województwa Pomorskiego”</w:t>
      </w:r>
      <w:r w:rsidR="0069700B" w:rsidRPr="00211D94">
        <w:rPr>
          <w:rFonts w:cs="Arial"/>
          <w:szCs w:val="24"/>
        </w:rPr>
        <w:t xml:space="preserve"> (tryb </w:t>
      </w:r>
      <w:r w:rsidRPr="00211D94">
        <w:rPr>
          <w:rFonts w:cs="Arial"/>
          <w:szCs w:val="24"/>
        </w:rPr>
        <w:t>pozakonkursowy</w:t>
      </w:r>
      <w:r w:rsidR="0069700B" w:rsidRPr="00211D94">
        <w:rPr>
          <w:rFonts w:cs="Arial"/>
          <w:szCs w:val="24"/>
        </w:rPr>
        <w:t>)</w:t>
      </w:r>
      <w:r w:rsidRPr="00211D94">
        <w:rPr>
          <w:rFonts w:cs="Arial"/>
          <w:szCs w:val="24"/>
        </w:rPr>
        <w:t xml:space="preserve">; </w:t>
      </w:r>
    </w:p>
    <w:p w14:paraId="528BA9ED" w14:textId="3A55E784" w:rsidR="00154F41" w:rsidRPr="00211D94" w:rsidRDefault="00154F41" w:rsidP="00F55865">
      <w:pPr>
        <w:pStyle w:val="Akapitzlist"/>
        <w:numPr>
          <w:ilvl w:val="0"/>
          <w:numId w:val="61"/>
        </w:numPr>
        <w:tabs>
          <w:tab w:val="left" w:pos="432"/>
        </w:tabs>
        <w:spacing w:before="120" w:after="120" w:line="276" w:lineRule="auto"/>
        <w:rPr>
          <w:rFonts w:cs="Arial"/>
          <w:szCs w:val="24"/>
        </w:rPr>
      </w:pPr>
      <w:r w:rsidRPr="00211D94">
        <w:rPr>
          <w:rFonts w:cs="Arial"/>
          <w:bCs/>
          <w:szCs w:val="24"/>
        </w:rPr>
        <w:t xml:space="preserve">10.5. </w:t>
      </w:r>
      <w:r w:rsidR="003B5EF9" w:rsidRPr="00211D94">
        <w:rPr>
          <w:rFonts w:cs="Arial"/>
          <w:bCs/>
          <w:szCs w:val="24"/>
        </w:rPr>
        <w:t>„</w:t>
      </w:r>
      <w:r w:rsidRPr="00211D94">
        <w:rPr>
          <w:rFonts w:cs="Arial"/>
          <w:szCs w:val="24"/>
        </w:rPr>
        <w:t xml:space="preserve">Efektywność energetyczna– </w:t>
      </w:r>
      <w:r w:rsidRPr="00211D94">
        <w:rPr>
          <w:rFonts w:cs="Arial"/>
          <w:bCs/>
          <w:szCs w:val="24"/>
        </w:rPr>
        <w:t xml:space="preserve">wsparcie </w:t>
      </w:r>
      <w:proofErr w:type="spellStart"/>
      <w:r w:rsidRPr="00211D94">
        <w:rPr>
          <w:rFonts w:cs="Arial"/>
          <w:bCs/>
          <w:szCs w:val="24"/>
        </w:rPr>
        <w:t>pozadotacyjne</w:t>
      </w:r>
      <w:proofErr w:type="spellEnd"/>
      <w:r w:rsidR="003B5EF9" w:rsidRPr="00211D94">
        <w:rPr>
          <w:rFonts w:cs="Arial"/>
          <w:bCs/>
          <w:szCs w:val="24"/>
        </w:rPr>
        <w:t>”</w:t>
      </w:r>
      <w:r w:rsidRPr="00211D94">
        <w:rPr>
          <w:rFonts w:cs="Arial"/>
          <w:bCs/>
          <w:szCs w:val="24"/>
        </w:rPr>
        <w:t xml:space="preserve">, </w:t>
      </w:r>
      <w:r w:rsidRPr="00211D94">
        <w:rPr>
          <w:rFonts w:cs="Arial"/>
          <w:szCs w:val="24"/>
        </w:rPr>
        <w:t>w którym w trybie pozakonkursowym powierzono zadania Menadżera Funduszu Funduszy Europejskiemu Bankowi Inwestycyjnemu (EBI)</w:t>
      </w:r>
      <w:r w:rsidRPr="00211D94">
        <w:rPr>
          <w:rFonts w:cs="Arial"/>
          <w:b/>
          <w:bCs/>
          <w:szCs w:val="24"/>
        </w:rPr>
        <w:t xml:space="preserve">. </w:t>
      </w:r>
    </w:p>
    <w:p w14:paraId="567246E5" w14:textId="24543C4F" w:rsidR="008B5376" w:rsidRPr="00211D94" w:rsidRDefault="008B5376" w:rsidP="00F55865">
      <w:pPr>
        <w:tabs>
          <w:tab w:val="left" w:pos="432"/>
        </w:tabs>
        <w:spacing w:before="120" w:after="120"/>
        <w:rPr>
          <w:rFonts w:cs="Arial"/>
          <w:szCs w:val="24"/>
        </w:rPr>
      </w:pPr>
      <w:r w:rsidRPr="00211D94">
        <w:rPr>
          <w:rFonts w:cs="Arial"/>
          <w:szCs w:val="24"/>
        </w:rPr>
        <w:t xml:space="preserve">W PI 4c zawarto łącznie </w:t>
      </w:r>
      <w:r w:rsidRPr="00211D94">
        <w:rPr>
          <w:rFonts w:cs="Arial"/>
          <w:bCs/>
          <w:szCs w:val="24"/>
        </w:rPr>
        <w:t>75 umów, w ramach których</w:t>
      </w:r>
      <w:r w:rsidRPr="00211D94">
        <w:rPr>
          <w:rFonts w:cs="Arial"/>
          <w:szCs w:val="24"/>
        </w:rPr>
        <w:t xml:space="preserve"> uwzględniono przedsięwzięcia realizowane w ramach strategii ZIT, a także zastosowano instrument finansowy w formie pożyczki na modernizację energetyczną budynków</w:t>
      </w:r>
      <w:r w:rsidR="00D114C5" w:rsidRPr="00211D94">
        <w:rPr>
          <w:rFonts w:cs="Arial"/>
          <w:szCs w:val="24"/>
        </w:rPr>
        <w:t>, w ramach której udzielono 159 wsparć.</w:t>
      </w:r>
    </w:p>
    <w:p w14:paraId="430B3618" w14:textId="2964AD0B" w:rsidR="00B254CA" w:rsidRPr="00211D94" w:rsidRDefault="00B254CA" w:rsidP="00F55865">
      <w:pPr>
        <w:tabs>
          <w:tab w:val="left" w:pos="432"/>
        </w:tabs>
        <w:spacing w:before="120" w:after="120"/>
        <w:rPr>
          <w:rFonts w:cs="Arial"/>
          <w:szCs w:val="24"/>
        </w:rPr>
      </w:pPr>
      <w:r w:rsidRPr="00211D94">
        <w:rPr>
          <w:rFonts w:cs="Arial"/>
          <w:szCs w:val="24"/>
        </w:rPr>
        <w:t xml:space="preserve">Ze zrealizowanych projektów wynika, że została osiągnięta wartość wskaźnika </w:t>
      </w:r>
      <w:r w:rsidR="003B5EF9" w:rsidRPr="00211D94">
        <w:rPr>
          <w:rFonts w:cs="Arial"/>
          <w:szCs w:val="24"/>
        </w:rPr>
        <w:t>„</w:t>
      </w:r>
      <w:r w:rsidRPr="00211D94">
        <w:rPr>
          <w:rFonts w:cs="Arial"/>
          <w:szCs w:val="24"/>
        </w:rPr>
        <w:t>Zmniejszenie rocznego zużycia energii pierwotnej w budynkach publicznych</w:t>
      </w:r>
      <w:r w:rsidR="003B5EF9" w:rsidRPr="00211D94">
        <w:rPr>
          <w:rFonts w:cs="Arial"/>
          <w:szCs w:val="24"/>
        </w:rPr>
        <w:t>”</w:t>
      </w:r>
      <w:r w:rsidRPr="00211D94">
        <w:rPr>
          <w:rFonts w:cs="Arial"/>
          <w:szCs w:val="24"/>
        </w:rPr>
        <w:t xml:space="preserve"> w wysokości 173 849 214,6 kWh/rok, stanowiąca 129,8% wartości docelowej, a także wartość wskaźnika </w:t>
      </w:r>
      <w:r w:rsidR="003B5EF9" w:rsidRPr="00211D94">
        <w:rPr>
          <w:rFonts w:cs="Arial"/>
          <w:szCs w:val="24"/>
        </w:rPr>
        <w:t>„</w:t>
      </w:r>
      <w:r w:rsidRPr="00211D94">
        <w:rPr>
          <w:rFonts w:cs="Arial"/>
          <w:szCs w:val="24"/>
        </w:rPr>
        <w:t>Szacowany roczny spadek emisji gazów cieplarnianych</w:t>
      </w:r>
      <w:r w:rsidR="003B5EF9" w:rsidRPr="00211D94">
        <w:rPr>
          <w:rFonts w:cs="Arial"/>
          <w:szCs w:val="24"/>
        </w:rPr>
        <w:t>”</w:t>
      </w:r>
      <w:r w:rsidRPr="00211D94">
        <w:rPr>
          <w:rFonts w:cs="Arial"/>
          <w:szCs w:val="24"/>
        </w:rPr>
        <w:t xml:space="preserve"> w wysokości 60 027,8 Ton CO</w:t>
      </w:r>
      <w:r w:rsidRPr="00211D94">
        <w:rPr>
          <w:rFonts w:cs="Arial"/>
          <w:szCs w:val="24"/>
          <w:vertAlign w:val="subscript"/>
        </w:rPr>
        <w:t>2</w:t>
      </w:r>
      <w:r w:rsidRPr="00211D94">
        <w:rPr>
          <w:rFonts w:cs="Arial"/>
          <w:szCs w:val="24"/>
        </w:rPr>
        <w:t xml:space="preserve">eq, (133,4% wartości docelowej). </w:t>
      </w:r>
    </w:p>
    <w:p w14:paraId="13E5BA17" w14:textId="16F2CB15" w:rsidR="007941E1" w:rsidRPr="00211D94" w:rsidRDefault="009F288E" w:rsidP="00F55865">
      <w:pPr>
        <w:pStyle w:val="Default"/>
        <w:spacing w:before="120" w:after="120" w:line="276" w:lineRule="auto"/>
        <w:rPr>
          <w:color w:val="auto"/>
        </w:rPr>
      </w:pPr>
      <w:r w:rsidRPr="00211D94">
        <w:rPr>
          <w:color w:val="auto"/>
        </w:rPr>
        <w:t>Projekty dofinansowane w Działaniach 10.1 oraz 10.2 (dotacje) koncent</w:t>
      </w:r>
      <w:r w:rsidR="008B5376" w:rsidRPr="00211D94">
        <w:rPr>
          <w:color w:val="auto"/>
        </w:rPr>
        <w:t>rowały</w:t>
      </w:r>
      <w:r w:rsidRPr="00211D94">
        <w:rPr>
          <w:color w:val="auto"/>
        </w:rPr>
        <w:t xml:space="preserve"> się na wspieraniu modernizacji energetycznej budynków użyteczności publicznej, a uzupełniająco także budynków mieszkalnych, które w 100% stanowi</w:t>
      </w:r>
      <w:r w:rsidR="008B5376" w:rsidRPr="00211D94">
        <w:rPr>
          <w:color w:val="auto"/>
        </w:rPr>
        <w:t>ły</w:t>
      </w:r>
      <w:r w:rsidRPr="00211D94">
        <w:rPr>
          <w:color w:val="auto"/>
        </w:rPr>
        <w:t xml:space="preserve"> własność </w:t>
      </w:r>
      <w:proofErr w:type="spellStart"/>
      <w:r w:rsidRPr="00211D94">
        <w:rPr>
          <w:color w:val="auto"/>
        </w:rPr>
        <w:t>jst</w:t>
      </w:r>
      <w:proofErr w:type="spellEnd"/>
      <w:r w:rsidR="0030653A" w:rsidRPr="00211D94">
        <w:rPr>
          <w:color w:val="auto"/>
        </w:rPr>
        <w:t>, natomiast p</w:t>
      </w:r>
      <w:r w:rsidRPr="00211D94">
        <w:rPr>
          <w:color w:val="auto"/>
        </w:rPr>
        <w:t>rojekty dofinansowane w Działaniu 10.5 (IF) zostały zrealizowane przez wspólnoty i spółdzielnie mieszkaniowe i dotycz</w:t>
      </w:r>
      <w:r w:rsidR="008B5376" w:rsidRPr="00211D94">
        <w:rPr>
          <w:color w:val="auto"/>
        </w:rPr>
        <w:t>yły</w:t>
      </w:r>
      <w:r w:rsidRPr="00211D94">
        <w:rPr>
          <w:color w:val="auto"/>
        </w:rPr>
        <w:t xml:space="preserve"> modernizacji energetycznej wielorodzinnych budynków mieszkalnych.</w:t>
      </w:r>
      <w:r w:rsidR="007941E1" w:rsidRPr="00211D94">
        <w:rPr>
          <w:color w:val="auto"/>
        </w:rPr>
        <w:t xml:space="preserve"> Dla wskaźnika </w:t>
      </w:r>
      <w:r w:rsidR="003B5EF9" w:rsidRPr="00211D94">
        <w:rPr>
          <w:color w:val="auto"/>
        </w:rPr>
        <w:t>„</w:t>
      </w:r>
      <w:r w:rsidR="007941E1" w:rsidRPr="00211D94">
        <w:rPr>
          <w:iCs/>
          <w:color w:val="auto"/>
        </w:rPr>
        <w:t>Liczba gospodarstw domowych z lepszą klasą zużycia energii</w:t>
      </w:r>
      <w:r w:rsidR="003B5EF9" w:rsidRPr="00211D94">
        <w:rPr>
          <w:iCs/>
          <w:color w:val="auto"/>
        </w:rPr>
        <w:t>”</w:t>
      </w:r>
      <w:r w:rsidR="007941E1" w:rsidRPr="00211D94">
        <w:rPr>
          <w:color w:val="auto"/>
        </w:rPr>
        <w:t xml:space="preserve"> osiągnięto 245,3% założonego celu (4 415 szt.)</w:t>
      </w:r>
      <w:r w:rsidR="00074338" w:rsidRPr="00211D94">
        <w:rPr>
          <w:color w:val="auto"/>
        </w:rPr>
        <w:t>, natomiast w wyniku wdrożenia interwencji</w:t>
      </w:r>
      <w:r w:rsidR="007941E1" w:rsidRPr="00211D94">
        <w:rPr>
          <w:color w:val="auto"/>
        </w:rPr>
        <w:t xml:space="preserve"> zmodernizowano energetycznie 769 budynków, co stanowi 128,2% docelowej wartości wskaźnika </w:t>
      </w:r>
      <w:r w:rsidR="003B5EF9" w:rsidRPr="00211D94">
        <w:rPr>
          <w:color w:val="auto"/>
        </w:rPr>
        <w:t>„</w:t>
      </w:r>
      <w:r w:rsidR="007941E1" w:rsidRPr="00211D94">
        <w:rPr>
          <w:color w:val="auto"/>
        </w:rPr>
        <w:t>Liczba zmodernizowanych energetycznie budynków</w:t>
      </w:r>
      <w:r w:rsidR="003B5EF9" w:rsidRPr="00211D94">
        <w:rPr>
          <w:color w:val="auto"/>
        </w:rPr>
        <w:t>”</w:t>
      </w:r>
      <w:r w:rsidR="007941E1" w:rsidRPr="00211D94">
        <w:rPr>
          <w:color w:val="auto"/>
        </w:rPr>
        <w:t>. Jedną z przyczyn wysokiej wartości przedmiotowego wskaźnika jest przyznawanie przez IZ RPO niższego niż maksymalny poziomu dofinansowania. Skala projektów jest zróżnicowana: od modernizacji energetycznej 1 budynku np. w projekcie Gminy Trąbki Wielkie „Termomodernizacja budynku Szkoły Podstawowej w Sobowidzu” do wsparcia dla 50 budynków w projekcie „Poprawa efektywności energetycznej Obszaru Funkcjonalnego Miasta Słupska poprzez termomodernizację budynków”. Kompleksowe projekty obejmowały swym zakresem głęboką modernizację energetyczną budynków z uwzględnieniem potrzeby monitorowania i zarządzania energią wraz z możliwością wykorzystania instalacji OZE, wymiany źródeł ciepła (w tym indywidualnych) i zastosowania indywidualnego pomiaru zużycia ciepła.</w:t>
      </w:r>
    </w:p>
    <w:p w14:paraId="7F1ADDE7" w14:textId="00B82141" w:rsidR="00E70B48" w:rsidRPr="00211D94" w:rsidRDefault="00E70B48" w:rsidP="00F55865">
      <w:pPr>
        <w:tabs>
          <w:tab w:val="left" w:pos="432"/>
        </w:tabs>
        <w:spacing w:before="120" w:after="120"/>
        <w:rPr>
          <w:rFonts w:cs="Arial"/>
          <w:szCs w:val="24"/>
        </w:rPr>
      </w:pPr>
      <w:r w:rsidRPr="00211D94">
        <w:rPr>
          <w:rFonts w:cs="Arial"/>
          <w:szCs w:val="24"/>
        </w:rPr>
        <w:t>Za główny cel Działania 10.3</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Odnawialne źródła energii</w:t>
      </w:r>
      <w:r w:rsidR="003B5EF9" w:rsidRPr="00211D94">
        <w:rPr>
          <w:rFonts w:cs="Arial"/>
          <w:szCs w:val="24"/>
        </w:rPr>
        <w:t>”</w:t>
      </w:r>
      <w:r w:rsidRPr="00211D94">
        <w:rPr>
          <w:rFonts w:cs="Arial"/>
          <w:szCs w:val="24"/>
        </w:rPr>
        <w:t xml:space="preserve"> (PI 4a) przyjęto </w:t>
      </w:r>
      <w:r w:rsidRPr="00211D94">
        <w:rPr>
          <w:rFonts w:cs="Arial"/>
          <w:bCs/>
          <w:szCs w:val="24"/>
        </w:rPr>
        <w:t>zwiększone wykorzystanie energii pochodzącej ze źródeł odnawialnych, szczególnie produkowanej w generacji rozproszonej</w:t>
      </w:r>
      <w:r w:rsidRPr="00211D94">
        <w:rPr>
          <w:rFonts w:cs="Arial"/>
          <w:szCs w:val="24"/>
        </w:rPr>
        <w:t>. Oczekiwane rezultaty obejm</w:t>
      </w:r>
      <w:r w:rsidR="00982972" w:rsidRPr="00211D94">
        <w:rPr>
          <w:rFonts w:cs="Arial"/>
          <w:szCs w:val="24"/>
        </w:rPr>
        <w:t>owały</w:t>
      </w:r>
      <w:r w:rsidRPr="00211D94">
        <w:rPr>
          <w:rFonts w:cs="Arial"/>
          <w:szCs w:val="24"/>
        </w:rPr>
        <w:t xml:space="preserve"> poprawę bezpieczeństwa energetycznego w taki sposób, aby nastąpiło zwiększenie mocy zainstalowanej w źródłach OZE zlokalizowanych w regionie, a także rozwój i poprawa stanu technicznego systemu elektroenergetycznego. </w:t>
      </w:r>
    </w:p>
    <w:p w14:paraId="44BFE938" w14:textId="77777777" w:rsidR="00E70B48" w:rsidRPr="00211D94" w:rsidRDefault="00E70B48" w:rsidP="00F55865">
      <w:pPr>
        <w:tabs>
          <w:tab w:val="left" w:pos="432"/>
        </w:tabs>
        <w:spacing w:before="120" w:after="120"/>
        <w:rPr>
          <w:rFonts w:cs="Arial"/>
          <w:szCs w:val="24"/>
        </w:rPr>
      </w:pPr>
      <w:r w:rsidRPr="00211D94">
        <w:rPr>
          <w:rFonts w:cs="Arial"/>
          <w:szCs w:val="24"/>
        </w:rPr>
        <w:t xml:space="preserve">Działanie 10.3 podzielono na 2 poddziałania: </w:t>
      </w:r>
    </w:p>
    <w:p w14:paraId="1162DE64" w14:textId="288D77BF" w:rsidR="00E70B48" w:rsidRPr="00211D94" w:rsidRDefault="00E70B48" w:rsidP="00F55865">
      <w:pPr>
        <w:pStyle w:val="Akapitzlist"/>
        <w:numPr>
          <w:ilvl w:val="0"/>
          <w:numId w:val="62"/>
        </w:numPr>
        <w:tabs>
          <w:tab w:val="left" w:pos="432"/>
        </w:tabs>
        <w:spacing w:before="120" w:after="120" w:line="276" w:lineRule="auto"/>
        <w:rPr>
          <w:rFonts w:cs="Arial"/>
          <w:szCs w:val="24"/>
        </w:rPr>
      </w:pPr>
      <w:r w:rsidRPr="00211D94">
        <w:rPr>
          <w:rFonts w:cs="Arial"/>
          <w:bCs/>
          <w:szCs w:val="24"/>
        </w:rPr>
        <w:t xml:space="preserve">10.3.1 </w:t>
      </w:r>
      <w:r w:rsidRPr="00211D94">
        <w:rPr>
          <w:rFonts w:cs="Arial"/>
          <w:szCs w:val="24"/>
        </w:rPr>
        <w:t xml:space="preserve">– </w:t>
      </w:r>
      <w:r w:rsidRPr="00211D94">
        <w:rPr>
          <w:rFonts w:cs="Arial"/>
          <w:bCs/>
          <w:szCs w:val="24"/>
        </w:rPr>
        <w:t>wsparcie dotacyjne</w:t>
      </w:r>
      <w:r w:rsidRPr="00211D94">
        <w:rPr>
          <w:rFonts w:cs="Arial"/>
          <w:szCs w:val="24"/>
        </w:rPr>
        <w:t xml:space="preserve">, w którym projekty wybierane były do dofinansowania w trybie konkursowym, </w:t>
      </w:r>
    </w:p>
    <w:p w14:paraId="57A926C6" w14:textId="03B80795" w:rsidR="00E70B48" w:rsidRPr="00211D94" w:rsidRDefault="00E70B48" w:rsidP="00F55865">
      <w:pPr>
        <w:pStyle w:val="Akapitzlist"/>
        <w:numPr>
          <w:ilvl w:val="0"/>
          <w:numId w:val="62"/>
        </w:numPr>
        <w:tabs>
          <w:tab w:val="left" w:pos="432"/>
        </w:tabs>
        <w:spacing w:before="120" w:after="120" w:line="276" w:lineRule="auto"/>
        <w:rPr>
          <w:rFonts w:cs="Arial"/>
          <w:szCs w:val="24"/>
        </w:rPr>
      </w:pPr>
      <w:r w:rsidRPr="00211D94">
        <w:rPr>
          <w:rFonts w:cs="Arial"/>
          <w:bCs/>
          <w:szCs w:val="24"/>
        </w:rPr>
        <w:t xml:space="preserve">10.3.2 </w:t>
      </w:r>
      <w:r w:rsidRPr="00211D94">
        <w:rPr>
          <w:rFonts w:cs="Arial"/>
          <w:szCs w:val="24"/>
        </w:rPr>
        <w:t xml:space="preserve">– </w:t>
      </w:r>
      <w:r w:rsidRPr="00211D94">
        <w:rPr>
          <w:rFonts w:cs="Arial"/>
          <w:bCs/>
          <w:szCs w:val="24"/>
        </w:rPr>
        <w:t xml:space="preserve">wsparcie </w:t>
      </w:r>
      <w:proofErr w:type="spellStart"/>
      <w:r w:rsidRPr="00211D94">
        <w:rPr>
          <w:rFonts w:cs="Arial"/>
          <w:bCs/>
          <w:szCs w:val="24"/>
        </w:rPr>
        <w:t>pozadotacyjne</w:t>
      </w:r>
      <w:proofErr w:type="spellEnd"/>
      <w:r w:rsidRPr="00211D94">
        <w:rPr>
          <w:rFonts w:cs="Arial"/>
          <w:szCs w:val="24"/>
        </w:rPr>
        <w:t xml:space="preserve">, w którym w trybie pozakonkursowym powierzono zadania Menadżera Funduszu Funduszy Europejskiemu Bankowi Inwestycyjnemu. </w:t>
      </w:r>
    </w:p>
    <w:p w14:paraId="296F46B0" w14:textId="7F9FCA68" w:rsidR="009F288E" w:rsidRPr="00211D94" w:rsidRDefault="00764045" w:rsidP="00F55865">
      <w:pPr>
        <w:tabs>
          <w:tab w:val="left" w:pos="432"/>
        </w:tabs>
        <w:spacing w:before="120" w:after="120"/>
        <w:rPr>
          <w:rFonts w:cs="Arial"/>
          <w:szCs w:val="24"/>
        </w:rPr>
      </w:pPr>
      <w:r w:rsidRPr="00211D94">
        <w:rPr>
          <w:rFonts w:cs="Arial"/>
          <w:szCs w:val="24"/>
        </w:rPr>
        <w:t xml:space="preserve">Zakres dofinansowanych projektów </w:t>
      </w:r>
      <w:r w:rsidR="00982972" w:rsidRPr="00211D94">
        <w:rPr>
          <w:rFonts w:cs="Arial"/>
          <w:szCs w:val="24"/>
        </w:rPr>
        <w:t xml:space="preserve">w ramach Działania 10.3 </w:t>
      </w:r>
      <w:r w:rsidRPr="00211D94">
        <w:rPr>
          <w:rFonts w:cs="Arial"/>
          <w:szCs w:val="24"/>
        </w:rPr>
        <w:t xml:space="preserve">obejmował </w:t>
      </w:r>
      <w:r w:rsidRPr="00211D94">
        <w:rPr>
          <w:rFonts w:cs="Arial"/>
          <w:bCs/>
          <w:szCs w:val="24"/>
        </w:rPr>
        <w:t>budowę lub montaż instalacji do produkcji energii elektrycznej i cieplnej z OZE</w:t>
      </w:r>
      <w:r w:rsidRPr="00211D94">
        <w:rPr>
          <w:rFonts w:cs="Arial"/>
          <w:szCs w:val="24"/>
        </w:rPr>
        <w:t xml:space="preserve">, a w nielicznych przypadkach także </w:t>
      </w:r>
      <w:r w:rsidRPr="00211D94">
        <w:rPr>
          <w:rFonts w:cs="Arial"/>
          <w:bCs/>
          <w:szCs w:val="24"/>
        </w:rPr>
        <w:t xml:space="preserve">magazyny energii </w:t>
      </w:r>
      <w:r w:rsidRPr="00211D94">
        <w:rPr>
          <w:rFonts w:cs="Arial"/>
          <w:szCs w:val="24"/>
        </w:rPr>
        <w:t xml:space="preserve">lub elementy </w:t>
      </w:r>
      <w:r w:rsidRPr="00211D94">
        <w:rPr>
          <w:rFonts w:cs="Arial"/>
          <w:bCs/>
          <w:szCs w:val="24"/>
        </w:rPr>
        <w:t xml:space="preserve">infrastruktury służącej podłączeniu instalacji do sieci </w:t>
      </w:r>
      <w:r w:rsidRPr="00211D94">
        <w:rPr>
          <w:rFonts w:cs="Arial"/>
          <w:szCs w:val="24"/>
        </w:rPr>
        <w:t>(np. stacja transformatorowa)</w:t>
      </w:r>
      <w:r w:rsidR="00830CB0" w:rsidRPr="00211D94">
        <w:rPr>
          <w:rFonts w:cs="Arial"/>
          <w:szCs w:val="24"/>
        </w:rPr>
        <w:t>.</w:t>
      </w:r>
      <w:r w:rsidR="00DC5C4F" w:rsidRPr="00211D94">
        <w:rPr>
          <w:rFonts w:cs="Arial"/>
          <w:szCs w:val="24"/>
        </w:rPr>
        <w:t xml:space="preserve"> W ramach </w:t>
      </w:r>
      <w:r w:rsidR="001D72C6" w:rsidRPr="00211D94">
        <w:rPr>
          <w:rFonts w:cs="Arial"/>
          <w:szCs w:val="24"/>
        </w:rPr>
        <w:t>zrealizowanych</w:t>
      </w:r>
      <w:r w:rsidR="00DC5C4F" w:rsidRPr="00211D94">
        <w:rPr>
          <w:rFonts w:cs="Arial"/>
          <w:szCs w:val="24"/>
        </w:rPr>
        <w:t xml:space="preserve"> 38 projekt</w:t>
      </w:r>
      <w:r w:rsidR="00D114C5" w:rsidRPr="00211D94">
        <w:rPr>
          <w:rFonts w:cs="Arial"/>
          <w:szCs w:val="24"/>
        </w:rPr>
        <w:t>ów</w:t>
      </w:r>
      <w:r w:rsidR="00DC5C4F" w:rsidRPr="00211D94">
        <w:rPr>
          <w:rFonts w:cs="Arial"/>
          <w:szCs w:val="24"/>
        </w:rPr>
        <w:t xml:space="preserve"> w formie dotacji oraz</w:t>
      </w:r>
      <w:r w:rsidR="001D72C6" w:rsidRPr="00211D94">
        <w:rPr>
          <w:rFonts w:cs="Arial"/>
          <w:szCs w:val="24"/>
        </w:rPr>
        <w:t xml:space="preserve"> 137 pożyczek </w:t>
      </w:r>
      <w:r w:rsidR="00074338" w:rsidRPr="00211D94">
        <w:rPr>
          <w:rFonts w:cs="Arial"/>
          <w:szCs w:val="24"/>
        </w:rPr>
        <w:t>z</w:t>
      </w:r>
      <w:r w:rsidR="001D72C6" w:rsidRPr="00211D94">
        <w:rPr>
          <w:rFonts w:cs="Arial"/>
          <w:szCs w:val="24"/>
        </w:rPr>
        <w:t xml:space="preserve"> instrumentów finansowych osiągnięto 194,8% wartości docelowej wskaźnika </w:t>
      </w:r>
      <w:r w:rsidR="003B5EF9" w:rsidRPr="00211D94">
        <w:rPr>
          <w:rFonts w:cs="Arial"/>
          <w:szCs w:val="24"/>
        </w:rPr>
        <w:t>„</w:t>
      </w:r>
      <w:r w:rsidR="001D72C6" w:rsidRPr="00211D94">
        <w:rPr>
          <w:rFonts w:cs="Arial"/>
          <w:szCs w:val="24"/>
        </w:rPr>
        <w:t>Dodatkowa zdolność wytwarzania energii odnawialnej</w:t>
      </w:r>
      <w:r w:rsidR="003B5EF9" w:rsidRPr="00211D94">
        <w:rPr>
          <w:rFonts w:cs="Arial"/>
          <w:szCs w:val="24"/>
        </w:rPr>
        <w:t>”</w:t>
      </w:r>
      <w:r w:rsidR="001D72C6" w:rsidRPr="00211D94">
        <w:rPr>
          <w:rFonts w:cs="Arial"/>
          <w:szCs w:val="24"/>
        </w:rPr>
        <w:t xml:space="preserve"> (89,6 MW), natomiast wskaźnik </w:t>
      </w:r>
      <w:r w:rsidR="003B5EF9" w:rsidRPr="00211D94">
        <w:rPr>
          <w:rFonts w:cs="Arial"/>
          <w:szCs w:val="24"/>
        </w:rPr>
        <w:t>„</w:t>
      </w:r>
      <w:r w:rsidR="001D72C6" w:rsidRPr="00211D94">
        <w:rPr>
          <w:rFonts w:cs="Arial"/>
          <w:szCs w:val="24"/>
        </w:rPr>
        <w:t>Szacowany roczny spadek emisji gazów cieplarnianych</w:t>
      </w:r>
      <w:r w:rsidR="003B5EF9" w:rsidRPr="00211D94">
        <w:rPr>
          <w:rFonts w:cs="Arial"/>
          <w:szCs w:val="24"/>
        </w:rPr>
        <w:t>”</w:t>
      </w:r>
      <w:r w:rsidR="00074338" w:rsidRPr="00211D94">
        <w:rPr>
          <w:rFonts w:cs="Arial"/>
          <w:szCs w:val="24"/>
        </w:rPr>
        <w:t xml:space="preserve"> wyniósł</w:t>
      </w:r>
      <w:r w:rsidR="001D72C6" w:rsidRPr="00211D94">
        <w:rPr>
          <w:rFonts w:cs="Arial"/>
          <w:szCs w:val="24"/>
        </w:rPr>
        <w:t xml:space="preserve"> 162</w:t>
      </w:r>
      <w:r w:rsidR="00E37270" w:rsidRPr="00211D94">
        <w:rPr>
          <w:rFonts w:cs="Arial"/>
          <w:szCs w:val="24"/>
        </w:rPr>
        <w:t>,</w:t>
      </w:r>
      <w:r w:rsidR="001D72C6" w:rsidRPr="00211D94">
        <w:rPr>
          <w:rFonts w:cs="Arial"/>
          <w:szCs w:val="24"/>
        </w:rPr>
        <w:t>8% wartości docelowej (</w:t>
      </w:r>
      <w:r w:rsidR="00E37270" w:rsidRPr="00211D94">
        <w:rPr>
          <w:rFonts w:cs="Arial"/>
          <w:szCs w:val="24"/>
        </w:rPr>
        <w:t xml:space="preserve">54 549,5 ton CO2 </w:t>
      </w:r>
      <w:proofErr w:type="spellStart"/>
      <w:r w:rsidR="00E37270" w:rsidRPr="00211D94">
        <w:rPr>
          <w:rFonts w:cs="Arial"/>
          <w:szCs w:val="24"/>
        </w:rPr>
        <w:t>eq</w:t>
      </w:r>
      <w:proofErr w:type="spellEnd"/>
      <w:r w:rsidR="00E37270" w:rsidRPr="00211D94">
        <w:rPr>
          <w:rFonts w:cs="Arial"/>
          <w:szCs w:val="24"/>
        </w:rPr>
        <w:t>/rok).</w:t>
      </w:r>
    </w:p>
    <w:p w14:paraId="769F88CE" w14:textId="5E91790B" w:rsidR="00637B92" w:rsidRPr="00211D94" w:rsidRDefault="00637B92" w:rsidP="00F55865">
      <w:pPr>
        <w:tabs>
          <w:tab w:val="left" w:pos="432"/>
        </w:tabs>
        <w:spacing w:before="120" w:after="120"/>
        <w:rPr>
          <w:rFonts w:cs="Arial"/>
          <w:szCs w:val="24"/>
        </w:rPr>
      </w:pPr>
      <w:r w:rsidRPr="00211D94">
        <w:rPr>
          <w:rFonts w:cs="Arial"/>
          <w:szCs w:val="24"/>
        </w:rPr>
        <w:t>Koncentrację wsparcia na infrastrukturze wytwórczej należy ocenić jako korzystną z punktu widzenia zwiększania produkcji i konsumpcji energii z OZE w regionie, które należą do celów strategicznych województwa.</w:t>
      </w:r>
      <w:r w:rsidR="00DC5C4F" w:rsidRPr="00211D94">
        <w:rPr>
          <w:rFonts w:cs="Arial"/>
          <w:szCs w:val="24"/>
        </w:rPr>
        <w:t xml:space="preserve"> </w:t>
      </w:r>
      <w:r w:rsidR="00DC5C4F" w:rsidRPr="00211D94">
        <w:rPr>
          <w:rFonts w:cs="Arial"/>
          <w:bCs/>
          <w:szCs w:val="24"/>
        </w:rPr>
        <w:t xml:space="preserve">Interwencja z RPO WP miała kluczowe znaczenie dla rozwoju wykorzystania OZE w sektorze publicznym, dla którego środki UE były głównym źródłem finansowania tego typu inwestycji. </w:t>
      </w:r>
      <w:r w:rsidR="00DC5C4F" w:rsidRPr="00211D94">
        <w:rPr>
          <w:rFonts w:cs="Arial"/>
          <w:szCs w:val="24"/>
        </w:rPr>
        <w:t>Przyczynił</w:t>
      </w:r>
      <w:r w:rsidR="003544F6" w:rsidRPr="00211D94">
        <w:rPr>
          <w:rFonts w:cs="Arial"/>
          <w:szCs w:val="24"/>
        </w:rPr>
        <w:t>a</w:t>
      </w:r>
      <w:r w:rsidR="00DC5C4F" w:rsidRPr="00211D94">
        <w:rPr>
          <w:rFonts w:cs="Arial"/>
          <w:szCs w:val="24"/>
        </w:rPr>
        <w:t xml:space="preserve"> się także do </w:t>
      </w:r>
      <w:r w:rsidR="00DC5C4F" w:rsidRPr="00211D94">
        <w:rPr>
          <w:rFonts w:cs="Arial"/>
          <w:bCs/>
          <w:szCs w:val="24"/>
        </w:rPr>
        <w:t xml:space="preserve">rozwoju wykorzystania OZE na potrzeby własne przedsiębiorstw </w:t>
      </w:r>
      <w:r w:rsidR="00DC5C4F" w:rsidRPr="00211D94">
        <w:rPr>
          <w:rFonts w:cs="Arial"/>
          <w:szCs w:val="24"/>
        </w:rPr>
        <w:t>głównie dzięki wsparciu w formie instrumentu finansowego – „Pożyczki OZE”, która spotkała się z dużym zainteresowaniem inwestorów.</w:t>
      </w:r>
    </w:p>
    <w:p w14:paraId="593DDDBC" w14:textId="5F15F9BD" w:rsidR="00E37270" w:rsidRPr="00211D94" w:rsidRDefault="00E37270" w:rsidP="00F55865">
      <w:pPr>
        <w:tabs>
          <w:tab w:val="left" w:pos="432"/>
        </w:tabs>
        <w:spacing w:before="120" w:after="120"/>
        <w:rPr>
          <w:rFonts w:cs="Arial"/>
          <w:szCs w:val="24"/>
        </w:rPr>
      </w:pPr>
      <w:r w:rsidRPr="00211D94">
        <w:rPr>
          <w:rFonts w:cs="Arial"/>
          <w:szCs w:val="24"/>
        </w:rPr>
        <w:t>Za główny cel Działania 10.4</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Redukcja emisji</w:t>
      </w:r>
      <w:r w:rsidR="003B5EF9" w:rsidRPr="00211D94">
        <w:rPr>
          <w:rFonts w:cs="Arial"/>
          <w:szCs w:val="24"/>
        </w:rPr>
        <w:t>”</w:t>
      </w:r>
      <w:r w:rsidRPr="00211D94">
        <w:rPr>
          <w:rFonts w:cs="Arial"/>
          <w:szCs w:val="24"/>
        </w:rPr>
        <w:t xml:space="preserve"> (PI 4e) przyjęto </w:t>
      </w:r>
      <w:r w:rsidRPr="00211D94">
        <w:rPr>
          <w:rFonts w:cs="Arial"/>
          <w:bCs/>
          <w:szCs w:val="24"/>
        </w:rPr>
        <w:t>zwiększenie sprawności funkcjonowania komunalnej infrastruktury energetycznej</w:t>
      </w:r>
      <w:r w:rsidRPr="00211D94">
        <w:rPr>
          <w:rFonts w:cs="Arial"/>
          <w:szCs w:val="24"/>
        </w:rPr>
        <w:t>, natomiast oczekiwane rezultaty obejmowały poprawę funkcjonowania oraz zwiększenie zasięgu obsługi scentralizowanych systemów zaopatrzenia w ciepło, ograniczenie strat na przesyle ciepła, zmniejszenie emisji zanieczyszczeń ze źródeł ciepła oraz ograniczenie zużycia energii elektrycznej przez systemy oświetlenia zewnętrznego.</w:t>
      </w:r>
    </w:p>
    <w:p w14:paraId="0B34DF74" w14:textId="570F12E8" w:rsidR="00B50331" w:rsidRPr="00211D94" w:rsidRDefault="0084274D" w:rsidP="00F55865">
      <w:pPr>
        <w:tabs>
          <w:tab w:val="left" w:pos="432"/>
        </w:tabs>
        <w:spacing w:before="120" w:after="120"/>
        <w:rPr>
          <w:rFonts w:cs="Arial"/>
          <w:bCs/>
          <w:szCs w:val="24"/>
        </w:rPr>
      </w:pPr>
      <w:r w:rsidRPr="00211D94">
        <w:rPr>
          <w:rFonts w:cs="Arial"/>
          <w:szCs w:val="24"/>
        </w:rPr>
        <w:t xml:space="preserve">W efekcie realizacji </w:t>
      </w:r>
      <w:r w:rsidRPr="00211D94">
        <w:rPr>
          <w:rFonts w:cs="Arial"/>
          <w:bCs/>
          <w:szCs w:val="24"/>
        </w:rPr>
        <w:t xml:space="preserve">18 projektów zmodernizowano 30 159 punktów świetlnych (120,6% wartości docelowej), </w:t>
      </w:r>
      <w:r w:rsidRPr="00211D94">
        <w:rPr>
          <w:rFonts w:cs="Arial"/>
          <w:szCs w:val="24"/>
        </w:rPr>
        <w:t>wymieniając</w:t>
      </w:r>
      <w:r w:rsidRPr="00211D94">
        <w:rPr>
          <w:rFonts w:cs="Arial"/>
          <w:bCs/>
          <w:szCs w:val="24"/>
        </w:rPr>
        <w:t xml:space="preserve"> istniejąc</w:t>
      </w:r>
      <w:r w:rsidR="003544F6" w:rsidRPr="00211D94">
        <w:rPr>
          <w:rFonts w:cs="Arial"/>
          <w:bCs/>
          <w:szCs w:val="24"/>
        </w:rPr>
        <w:t>e</w:t>
      </w:r>
      <w:r w:rsidRPr="00211D94">
        <w:rPr>
          <w:rFonts w:cs="Arial"/>
          <w:bCs/>
          <w:szCs w:val="24"/>
        </w:rPr>
        <w:t xml:space="preserve"> opraw</w:t>
      </w:r>
      <w:r w:rsidR="003544F6" w:rsidRPr="00211D94">
        <w:rPr>
          <w:rFonts w:cs="Arial"/>
          <w:bCs/>
          <w:szCs w:val="24"/>
        </w:rPr>
        <w:t>y</w:t>
      </w:r>
      <w:r w:rsidRPr="00211D94">
        <w:rPr>
          <w:rFonts w:cs="Arial"/>
          <w:bCs/>
          <w:szCs w:val="24"/>
        </w:rPr>
        <w:t xml:space="preserve"> oświetleniow</w:t>
      </w:r>
      <w:r w:rsidR="003544F6" w:rsidRPr="00211D94">
        <w:rPr>
          <w:rFonts w:cs="Arial"/>
          <w:bCs/>
          <w:szCs w:val="24"/>
        </w:rPr>
        <w:t>e</w:t>
      </w:r>
      <w:r w:rsidRPr="00211D94">
        <w:rPr>
          <w:rFonts w:cs="Arial"/>
          <w:bCs/>
          <w:szCs w:val="24"/>
        </w:rPr>
        <w:t xml:space="preserve"> (sodow</w:t>
      </w:r>
      <w:r w:rsidR="003544F6" w:rsidRPr="00211D94">
        <w:rPr>
          <w:rFonts w:cs="Arial"/>
          <w:bCs/>
          <w:szCs w:val="24"/>
        </w:rPr>
        <w:t>e</w:t>
      </w:r>
      <w:r w:rsidRPr="00211D94">
        <w:rPr>
          <w:rFonts w:cs="Arial"/>
          <w:bCs/>
          <w:szCs w:val="24"/>
        </w:rPr>
        <w:t xml:space="preserve"> lub rtęciow</w:t>
      </w:r>
      <w:r w:rsidR="003544F6" w:rsidRPr="00211D94">
        <w:rPr>
          <w:rFonts w:cs="Arial"/>
          <w:bCs/>
          <w:szCs w:val="24"/>
        </w:rPr>
        <w:t>e</w:t>
      </w:r>
      <w:r w:rsidRPr="00211D94">
        <w:rPr>
          <w:rFonts w:cs="Arial"/>
          <w:bCs/>
          <w:szCs w:val="24"/>
        </w:rPr>
        <w:t xml:space="preserve">) na oświetlenie typu LED. Natomiast </w:t>
      </w:r>
      <w:r w:rsidRPr="00211D94">
        <w:rPr>
          <w:rFonts w:cs="Arial"/>
          <w:szCs w:val="24"/>
        </w:rPr>
        <w:t xml:space="preserve">w ramach zrealizowanych </w:t>
      </w:r>
      <w:r w:rsidRPr="00211D94">
        <w:rPr>
          <w:rFonts w:cs="Arial"/>
          <w:bCs/>
          <w:szCs w:val="24"/>
        </w:rPr>
        <w:t>11 projekt</w:t>
      </w:r>
      <w:r w:rsidR="00D114C5" w:rsidRPr="00211D94">
        <w:rPr>
          <w:rFonts w:cs="Arial"/>
          <w:bCs/>
          <w:szCs w:val="24"/>
        </w:rPr>
        <w:t>ów</w:t>
      </w:r>
      <w:r w:rsidRPr="00211D94">
        <w:rPr>
          <w:rFonts w:cs="Arial"/>
          <w:bCs/>
          <w:szCs w:val="24"/>
        </w:rPr>
        <w:t xml:space="preserve"> dedykowanych sieciom ciepłowniczym wybudowano 7,2 km i zmodernizowano 18 km sieci</w:t>
      </w:r>
      <w:r w:rsidRPr="00211D94">
        <w:rPr>
          <w:rFonts w:cs="Arial"/>
          <w:szCs w:val="24"/>
        </w:rPr>
        <w:t xml:space="preserve">, </w:t>
      </w:r>
      <w:r w:rsidR="00B50331" w:rsidRPr="00211D94">
        <w:rPr>
          <w:rFonts w:cs="Arial"/>
          <w:szCs w:val="24"/>
        </w:rPr>
        <w:t>co przekłada się na realizację wskaźnika ”Długość sieci ciepłowniczej” – 25,2 km (139,8% wartości docelowej).</w:t>
      </w:r>
      <w:r w:rsidR="00982972" w:rsidRPr="00211D94">
        <w:rPr>
          <w:rFonts w:cs="Arial"/>
          <w:szCs w:val="24"/>
        </w:rPr>
        <w:t xml:space="preserve"> </w:t>
      </w:r>
    </w:p>
    <w:p w14:paraId="3A07106C" w14:textId="5B8C5ED4" w:rsidR="00FD4F4D" w:rsidRPr="00211D94" w:rsidRDefault="003F20A4" w:rsidP="00F55865">
      <w:pPr>
        <w:tabs>
          <w:tab w:val="left" w:pos="432"/>
        </w:tabs>
        <w:spacing w:before="120" w:after="120"/>
        <w:rPr>
          <w:rFonts w:cs="Arial"/>
          <w:szCs w:val="24"/>
        </w:rPr>
      </w:pPr>
      <w:r w:rsidRPr="00211D94">
        <w:rPr>
          <w:rFonts w:cs="Arial"/>
          <w:szCs w:val="24"/>
        </w:rPr>
        <w:t xml:space="preserve">Ponadto </w:t>
      </w:r>
      <w:r w:rsidR="00D574D4" w:rsidRPr="00211D94">
        <w:rPr>
          <w:rFonts w:cs="Arial"/>
          <w:szCs w:val="24"/>
        </w:rPr>
        <w:t>wsparto</w:t>
      </w:r>
      <w:r w:rsidR="00FD4F4D" w:rsidRPr="00211D94">
        <w:rPr>
          <w:rFonts w:cs="Arial"/>
          <w:bCs/>
          <w:szCs w:val="24"/>
        </w:rPr>
        <w:t xml:space="preserve"> projekt </w:t>
      </w:r>
      <w:r w:rsidR="00D574D4" w:rsidRPr="00211D94">
        <w:rPr>
          <w:rFonts w:cs="Arial"/>
          <w:szCs w:val="24"/>
        </w:rPr>
        <w:t>dotyczący</w:t>
      </w:r>
      <w:r w:rsidR="00FD4F4D" w:rsidRPr="00211D94">
        <w:rPr>
          <w:rFonts w:cs="Arial"/>
          <w:szCs w:val="24"/>
        </w:rPr>
        <w:t xml:space="preserve"> rozbudow</w:t>
      </w:r>
      <w:r w:rsidR="00D574D4" w:rsidRPr="00211D94">
        <w:rPr>
          <w:rFonts w:cs="Arial"/>
          <w:szCs w:val="24"/>
        </w:rPr>
        <w:t>y</w:t>
      </w:r>
      <w:r w:rsidR="00FD4F4D" w:rsidRPr="00211D94">
        <w:rPr>
          <w:rFonts w:cs="Arial"/>
          <w:szCs w:val="24"/>
        </w:rPr>
        <w:t xml:space="preserve"> systemu monitoringu powietrza</w:t>
      </w:r>
      <w:r w:rsidR="00D574D4" w:rsidRPr="00211D94">
        <w:rPr>
          <w:rFonts w:cs="Arial"/>
          <w:szCs w:val="24"/>
        </w:rPr>
        <w:t xml:space="preserve">, zrealizowany </w:t>
      </w:r>
      <w:r w:rsidR="00FD4F4D" w:rsidRPr="00211D94">
        <w:rPr>
          <w:rFonts w:cs="Arial"/>
          <w:szCs w:val="24"/>
        </w:rPr>
        <w:t>przez Fundację ARMAG (Agencja Regionalnego Monitoringu Atmosfery Gdańsk-Gdynia-Sopot), która prowadzi pomiary jakości powietrza w aglomeracji trójmiejskiej.</w:t>
      </w:r>
      <w:r w:rsidR="00B50331" w:rsidRPr="00211D94">
        <w:rPr>
          <w:rFonts w:cs="Arial"/>
          <w:szCs w:val="24"/>
        </w:rPr>
        <w:t xml:space="preserve"> Projekt obejmował </w:t>
      </w:r>
      <w:r w:rsidR="00B50331" w:rsidRPr="00211D94">
        <w:rPr>
          <w:rFonts w:cs="Arial"/>
          <w:bCs/>
          <w:szCs w:val="24"/>
        </w:rPr>
        <w:t>budowę</w:t>
      </w:r>
      <w:r w:rsidR="00D574D4" w:rsidRPr="00211D94">
        <w:rPr>
          <w:rFonts w:cs="Arial"/>
          <w:bCs/>
          <w:szCs w:val="24"/>
        </w:rPr>
        <w:t xml:space="preserve"> dwóch </w:t>
      </w:r>
      <w:r w:rsidR="00B50331" w:rsidRPr="00211D94">
        <w:rPr>
          <w:rFonts w:cs="Arial"/>
          <w:bCs/>
          <w:szCs w:val="24"/>
        </w:rPr>
        <w:t xml:space="preserve">nowych stacji pomiarowych </w:t>
      </w:r>
      <w:r w:rsidR="00B50331" w:rsidRPr="00211D94">
        <w:rPr>
          <w:rFonts w:cs="Arial"/>
          <w:szCs w:val="24"/>
        </w:rPr>
        <w:t xml:space="preserve">oraz </w:t>
      </w:r>
      <w:r w:rsidR="00B50331" w:rsidRPr="00211D94">
        <w:rPr>
          <w:rFonts w:cs="Arial"/>
          <w:bCs/>
          <w:szCs w:val="24"/>
        </w:rPr>
        <w:t xml:space="preserve">modernizację </w:t>
      </w:r>
      <w:r w:rsidR="00D574D4" w:rsidRPr="00211D94">
        <w:rPr>
          <w:rFonts w:cs="Arial"/>
          <w:bCs/>
          <w:szCs w:val="24"/>
        </w:rPr>
        <w:t>czterech</w:t>
      </w:r>
      <w:r w:rsidR="00B50331" w:rsidRPr="00211D94">
        <w:rPr>
          <w:rFonts w:cs="Arial"/>
          <w:bCs/>
          <w:szCs w:val="24"/>
        </w:rPr>
        <w:t xml:space="preserve"> istniejących</w:t>
      </w:r>
      <w:r w:rsidR="00B50331" w:rsidRPr="00211D94">
        <w:rPr>
          <w:rFonts w:cs="Arial"/>
          <w:szCs w:val="24"/>
        </w:rPr>
        <w:t xml:space="preserve">, polegającą na </w:t>
      </w:r>
      <w:r w:rsidR="00B50331" w:rsidRPr="00211D94">
        <w:rPr>
          <w:rFonts w:cs="Arial"/>
          <w:bCs/>
          <w:szCs w:val="24"/>
        </w:rPr>
        <w:t xml:space="preserve">rozszerzeniu monitoringu </w:t>
      </w:r>
      <w:r w:rsidR="00B50331" w:rsidRPr="00211D94">
        <w:rPr>
          <w:rFonts w:cs="Arial"/>
          <w:szCs w:val="24"/>
        </w:rPr>
        <w:t xml:space="preserve">o równoczesny </w:t>
      </w:r>
      <w:r w:rsidR="00B50331" w:rsidRPr="00211D94">
        <w:rPr>
          <w:rFonts w:cs="Arial"/>
          <w:bCs/>
          <w:szCs w:val="24"/>
        </w:rPr>
        <w:t>pomiar pył</w:t>
      </w:r>
      <w:r w:rsidR="00D574D4" w:rsidRPr="00211D94">
        <w:rPr>
          <w:rFonts w:cs="Arial"/>
          <w:bCs/>
          <w:szCs w:val="24"/>
        </w:rPr>
        <w:t>ów</w:t>
      </w:r>
      <w:r w:rsidR="00B50331" w:rsidRPr="00211D94">
        <w:rPr>
          <w:rFonts w:cs="Arial"/>
          <w:bCs/>
          <w:szCs w:val="24"/>
        </w:rPr>
        <w:t xml:space="preserve"> PM10 i PM2,5</w:t>
      </w:r>
      <w:r w:rsidR="00B50331" w:rsidRPr="00211D94">
        <w:rPr>
          <w:rFonts w:cs="Arial"/>
          <w:szCs w:val="24"/>
        </w:rPr>
        <w:t>, co wcześniej w strefie aglomeracji trójmiejskiej nie było realizowane</w:t>
      </w:r>
      <w:r w:rsidR="00AA6786" w:rsidRPr="00211D94">
        <w:rPr>
          <w:rFonts w:cs="Arial"/>
          <w:szCs w:val="24"/>
        </w:rPr>
        <w:t>.</w:t>
      </w:r>
    </w:p>
    <w:p w14:paraId="0E7796EB" w14:textId="32411FC8" w:rsidR="00FD4F4D" w:rsidRPr="00211D94" w:rsidRDefault="00FD4F4D" w:rsidP="00F55865">
      <w:pPr>
        <w:tabs>
          <w:tab w:val="left" w:pos="432"/>
        </w:tabs>
        <w:spacing w:before="120" w:after="120"/>
        <w:rPr>
          <w:rFonts w:cs="Arial"/>
          <w:szCs w:val="24"/>
        </w:rPr>
      </w:pPr>
      <w:r w:rsidRPr="00211D94">
        <w:rPr>
          <w:rFonts w:cs="Arial"/>
          <w:szCs w:val="24"/>
        </w:rPr>
        <w:t>Interwencja dotycząca wspierania wytwarzania i dystrybucji energii ze źródeł odnawialnych (PI 4a) przyczyni</w:t>
      </w:r>
      <w:r w:rsidR="00317477" w:rsidRPr="00211D94">
        <w:rPr>
          <w:rFonts w:cs="Arial"/>
          <w:szCs w:val="24"/>
        </w:rPr>
        <w:t>ła</w:t>
      </w:r>
      <w:r w:rsidRPr="00211D94">
        <w:rPr>
          <w:rFonts w:cs="Arial"/>
          <w:szCs w:val="24"/>
        </w:rPr>
        <w:t xml:space="preserve"> się do zwiększenia udziału energii produkowanej z OZE w produkcji energii ogółem, zmniejszenia emisji zanieczyszczeń pyłowych oraz częściowo uniezależni</w:t>
      </w:r>
      <w:r w:rsidR="00317477" w:rsidRPr="00211D94">
        <w:rPr>
          <w:rFonts w:cs="Arial"/>
          <w:szCs w:val="24"/>
        </w:rPr>
        <w:t>enia</w:t>
      </w:r>
      <w:r w:rsidRPr="00211D94">
        <w:rPr>
          <w:rFonts w:cs="Arial"/>
          <w:szCs w:val="24"/>
        </w:rPr>
        <w:t xml:space="preserve"> odbiorców ostatecznych wsparcia od dostaw energii z sieci</w:t>
      </w:r>
      <w:r w:rsidR="00317477" w:rsidRPr="00211D94">
        <w:rPr>
          <w:rFonts w:cs="Arial"/>
          <w:szCs w:val="24"/>
        </w:rPr>
        <w:t>.</w:t>
      </w:r>
      <w:r w:rsidR="00AA6786" w:rsidRPr="00211D94">
        <w:rPr>
          <w:rFonts w:cs="Arial"/>
          <w:szCs w:val="24"/>
        </w:rPr>
        <w:t xml:space="preserve"> Wskaźnik „Szacowany roczny spadek emisji gazów cieplarnianych” został osiągnięty na poziomie 45 166,5 ton CO2 </w:t>
      </w:r>
      <w:proofErr w:type="spellStart"/>
      <w:r w:rsidR="00AA6786" w:rsidRPr="00211D94">
        <w:rPr>
          <w:rFonts w:cs="Arial"/>
          <w:szCs w:val="24"/>
        </w:rPr>
        <w:t>eq</w:t>
      </w:r>
      <w:proofErr w:type="spellEnd"/>
      <w:r w:rsidR="00AA6786" w:rsidRPr="00211D94">
        <w:rPr>
          <w:rFonts w:cs="Arial"/>
          <w:szCs w:val="24"/>
        </w:rPr>
        <w:t>/rok (225,8% wartości docelowej).</w:t>
      </w:r>
    </w:p>
    <w:p w14:paraId="78F2E7A5" w14:textId="76A017A4" w:rsidR="002F4DCA" w:rsidRPr="00211D94" w:rsidRDefault="002F4DCA" w:rsidP="002F4DCA">
      <w:pPr>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5A0080" w:rsidRPr="00211D94">
        <w:rPr>
          <w:rFonts w:cs="Arial"/>
          <w:szCs w:val="24"/>
        </w:rPr>
        <w:t>OP</w:t>
      </w:r>
      <w:r w:rsidRPr="00211D94">
        <w:rPr>
          <w:rFonts w:cs="Arial"/>
          <w:szCs w:val="24"/>
        </w:rPr>
        <w:t>10 RPO WP Instytucja Zarządzająca dysponuje danymi głównie za rok 2023. Osiągnięte wartości przedstawiają się następująco:</w:t>
      </w:r>
    </w:p>
    <w:p w14:paraId="19ADA3B9" w14:textId="77777777" w:rsidR="002F4DCA" w:rsidRPr="00211D94" w:rsidRDefault="002F4DCA" w:rsidP="002F4DCA">
      <w:pPr>
        <w:pStyle w:val="Akapitzlist"/>
        <w:numPr>
          <w:ilvl w:val="0"/>
          <w:numId w:val="51"/>
        </w:numPr>
        <w:spacing w:before="120" w:after="120" w:line="276" w:lineRule="auto"/>
        <w:rPr>
          <w:rFonts w:cs="Arial"/>
          <w:szCs w:val="24"/>
        </w:rPr>
      </w:pPr>
      <w:r w:rsidRPr="00211D94">
        <w:rPr>
          <w:rFonts w:cs="Arial"/>
          <w:szCs w:val="24"/>
        </w:rPr>
        <w:t>Udział energii ze źródeł odnawialnych w końcowym zużyciu energii brutto – 49,15%, przy wartości docelowej 28,0%;</w:t>
      </w:r>
    </w:p>
    <w:p w14:paraId="356EB092" w14:textId="16C3388F" w:rsidR="002F4DCA" w:rsidRPr="00211D94" w:rsidRDefault="002F4DCA" w:rsidP="002F4DCA">
      <w:pPr>
        <w:pStyle w:val="Akapitzlist"/>
        <w:numPr>
          <w:ilvl w:val="0"/>
          <w:numId w:val="51"/>
        </w:numPr>
        <w:spacing w:before="120" w:after="120" w:line="276" w:lineRule="auto"/>
        <w:rPr>
          <w:rFonts w:cs="Arial"/>
          <w:szCs w:val="24"/>
        </w:rPr>
      </w:pPr>
      <w:r w:rsidRPr="00211D94">
        <w:rPr>
          <w:rFonts w:cs="Arial"/>
          <w:szCs w:val="24"/>
        </w:rPr>
        <w:t xml:space="preserve">Sprzedaż energii cieplnej na cele komunalno-bytowe – </w:t>
      </w:r>
      <w:r w:rsidR="00D114C5" w:rsidRPr="00211D94">
        <w:rPr>
          <w:rFonts w:cs="Arial"/>
          <w:szCs w:val="24"/>
        </w:rPr>
        <w:t xml:space="preserve">13 732 242 </w:t>
      </w:r>
      <w:r w:rsidRPr="00211D94">
        <w:rPr>
          <w:rFonts w:cs="Arial"/>
          <w:szCs w:val="24"/>
        </w:rPr>
        <w:t>GJ, przy wartości docelowej 12 750 000 GJ;</w:t>
      </w:r>
    </w:p>
    <w:p w14:paraId="7278AC00" w14:textId="77777777" w:rsidR="002F4DCA" w:rsidRPr="00211D94" w:rsidRDefault="002F4DCA" w:rsidP="002F4DCA">
      <w:pPr>
        <w:pStyle w:val="Akapitzlist"/>
        <w:numPr>
          <w:ilvl w:val="0"/>
          <w:numId w:val="51"/>
        </w:numPr>
        <w:spacing w:before="120" w:after="120" w:line="276" w:lineRule="auto"/>
        <w:rPr>
          <w:rFonts w:cs="Arial"/>
          <w:szCs w:val="24"/>
        </w:rPr>
      </w:pPr>
      <w:r w:rsidRPr="00211D94">
        <w:rPr>
          <w:rFonts w:cs="Arial"/>
          <w:szCs w:val="24"/>
        </w:rPr>
        <w:t>Straty na przesyle ciepła – 15,4%, przy wartości docelowej 15,3%;</w:t>
      </w:r>
    </w:p>
    <w:p w14:paraId="1A6B6979" w14:textId="1218DC18" w:rsidR="002F4DCA" w:rsidRPr="00211D94" w:rsidRDefault="002F4DCA" w:rsidP="002F4DCA">
      <w:pPr>
        <w:pStyle w:val="Akapitzlist"/>
        <w:numPr>
          <w:ilvl w:val="0"/>
          <w:numId w:val="51"/>
        </w:numPr>
        <w:spacing w:before="120" w:after="120" w:line="276" w:lineRule="auto"/>
        <w:rPr>
          <w:rFonts w:cs="Arial"/>
          <w:szCs w:val="24"/>
        </w:rPr>
      </w:pPr>
      <w:r w:rsidRPr="00211D94">
        <w:rPr>
          <w:rFonts w:cs="Arial"/>
          <w:szCs w:val="24"/>
        </w:rPr>
        <w:t xml:space="preserve">Średnie zużycie energii cieplnej w budynkach mieszkalnych ogrzewanych centralnie w przeliczeniu na kubaturę budynków – </w:t>
      </w:r>
      <w:r w:rsidR="00D114C5" w:rsidRPr="00211D94">
        <w:rPr>
          <w:rFonts w:cs="Arial"/>
          <w:szCs w:val="24"/>
        </w:rPr>
        <w:t>65,57</w:t>
      </w:r>
      <w:r w:rsidRPr="00211D94">
        <w:rPr>
          <w:rFonts w:cs="Arial"/>
          <w:szCs w:val="24"/>
        </w:rPr>
        <w:t xml:space="preserve"> MJ/m³ (dane za 2018 r., wartość docelowa 107 MJ/m³) – brak aktualizacji danych GUS.</w:t>
      </w:r>
    </w:p>
    <w:p w14:paraId="29B44446" w14:textId="77777777" w:rsidR="00834A8A" w:rsidRPr="00211D94" w:rsidRDefault="00834A8A" w:rsidP="002F4DCA">
      <w:pPr>
        <w:spacing w:before="120" w:after="120"/>
        <w:rPr>
          <w:rFonts w:cs="Arial"/>
          <w:szCs w:val="24"/>
        </w:rPr>
      </w:pPr>
      <w:r w:rsidRPr="00211D94">
        <w:rPr>
          <w:rFonts w:cs="Arial"/>
          <w:szCs w:val="24"/>
        </w:rPr>
        <w:t>OP10 osiągnęła bardzo wysokie wyniki w zakresie udziału energii odnawialnej w końcowym zużyciu energii – na obszarze województwa pomorskiego znacząco przekroczono zakładany cel, co potwierdza skuteczność realizowanej polityki klimatycznej i transformacji energetycznej.</w:t>
      </w:r>
    </w:p>
    <w:p w14:paraId="6CF6ECE8" w14:textId="77777777" w:rsidR="002F4DCA" w:rsidRPr="00211D94" w:rsidRDefault="002F4DCA" w:rsidP="002F4DCA">
      <w:pPr>
        <w:spacing w:before="120" w:after="120"/>
        <w:rPr>
          <w:rFonts w:cs="Arial"/>
          <w:szCs w:val="24"/>
        </w:rPr>
      </w:pPr>
      <w:r w:rsidRPr="00211D94">
        <w:rPr>
          <w:rFonts w:cs="Arial"/>
          <w:szCs w:val="24"/>
        </w:rPr>
        <w:t>Sprzedaż energii cieplnej na cele komunalno-bytowe oraz straty na przesyle ciepła pozostają blisko wartości docelowych, co potwierdza stabilność systemów ciepłowniczych i efektywne zarządzanie sieciami dystrybucji energii.</w:t>
      </w:r>
    </w:p>
    <w:p w14:paraId="57EB5FD0" w14:textId="77777777" w:rsidR="002F4DCA" w:rsidRPr="00211D94" w:rsidRDefault="002F4DCA" w:rsidP="002F4DCA">
      <w:pPr>
        <w:spacing w:before="120" w:after="120"/>
        <w:rPr>
          <w:rFonts w:cs="Arial"/>
          <w:szCs w:val="24"/>
        </w:rPr>
      </w:pPr>
      <w:r w:rsidRPr="00211D94">
        <w:rPr>
          <w:rFonts w:cs="Arial"/>
          <w:szCs w:val="24"/>
        </w:rPr>
        <w:t>Średnie zużycie energii cieplnej w budynkach mieszkalnych jest znacznie niższe od wartości docelowej, co wskazuje na wysoką efektywność energetyczną infrastruktury mieszkaniowej w regionie. Brak nowszych danych GUS ogranicza możliwość bieżącej oceny, jednak wartości z 2018 r. wskazują na pozytywne trendy w zakresie ograniczenia zużycia energii.</w:t>
      </w:r>
    </w:p>
    <w:p w14:paraId="7BC79F2D" w14:textId="77777777" w:rsidR="002F4DCA" w:rsidRPr="00211D94" w:rsidRDefault="002F4DCA" w:rsidP="002F4DCA">
      <w:pPr>
        <w:spacing w:before="120" w:after="120"/>
        <w:rPr>
          <w:rFonts w:cs="Arial"/>
          <w:szCs w:val="24"/>
        </w:rPr>
      </w:pPr>
      <w:r w:rsidRPr="00211D94">
        <w:rPr>
          <w:rFonts w:cs="Arial"/>
          <w:szCs w:val="24"/>
        </w:rPr>
        <w:t>Wyniki osiągnięto pomimo trudnych uwarunkowań zewnętrznych, w tym pandemii COVID-19 oraz agresji Rosji na Ukrainę, które wpływały na gospodarkę energetyczną, ceny surowców oraz realizację inwestycji infrastrukturalnych.</w:t>
      </w:r>
    </w:p>
    <w:p w14:paraId="5CC0A120" w14:textId="0573BD8A" w:rsidR="00316322" w:rsidRPr="00211D94" w:rsidRDefault="00316322" w:rsidP="005A0080">
      <w:pPr>
        <w:spacing w:before="120" w:after="120"/>
      </w:pPr>
      <w:r w:rsidRPr="00211D94">
        <w:t>Ogólny poziom realizacji celów rezultatu dla OP10 można ocenić jako bardzo dobry. Województwo pomorskie skutecznie zwiększyło udział odnawialnych źródeł energii w bilansie energetycznym, utrzymało stabilność dostaw ciepła oraz poprawiło efektywność energetyczną budynków mieszkalnych, co wpisuje się w założenia zrównoważonego rozwoju i transformacji energetycznej.</w:t>
      </w:r>
    </w:p>
    <w:p w14:paraId="6F354258" w14:textId="77777777" w:rsidR="007D0568" w:rsidRPr="00211D94" w:rsidRDefault="007D0568" w:rsidP="00F55865">
      <w:pPr>
        <w:pStyle w:val="Nagwek2"/>
        <w:spacing w:before="120" w:after="120"/>
        <w:rPr>
          <w:rFonts w:cs="Arial"/>
          <w:color w:val="FFFFFF" w:themeColor="background1"/>
          <w:sz w:val="24"/>
          <w:szCs w:val="24"/>
          <w:lang w:eastAsia="pl-PL"/>
        </w:rPr>
      </w:pPr>
      <w:bookmarkStart w:id="165" w:name="_Toc484443231"/>
      <w:bookmarkStart w:id="166" w:name="_Toc9418248"/>
      <w:bookmarkStart w:id="167" w:name="_Toc214025291"/>
      <w:r w:rsidRPr="00211D94">
        <w:rPr>
          <w:rFonts w:cs="Arial"/>
          <w:color w:val="FFFFFF" w:themeColor="background1"/>
          <w:sz w:val="24"/>
          <w:szCs w:val="24"/>
          <w:lang w:eastAsia="pl-PL"/>
        </w:rPr>
        <w:t>OP11. ŚRODOWISKO</w:t>
      </w:r>
      <w:bookmarkEnd w:id="165"/>
      <w:bookmarkEnd w:id="166"/>
      <w:bookmarkEnd w:id="167"/>
    </w:p>
    <w:tbl>
      <w:tblPr>
        <w:tblW w:w="0" w:type="auto"/>
        <w:tblLook w:val="04A0" w:firstRow="1" w:lastRow="0" w:firstColumn="1" w:lastColumn="0" w:noHBand="0" w:noVBand="1"/>
      </w:tblPr>
      <w:tblGrid>
        <w:gridCol w:w="1506"/>
        <w:gridCol w:w="7566"/>
      </w:tblGrid>
      <w:tr w:rsidR="007D0568" w:rsidRPr="00211D94" w14:paraId="65EC7203" w14:textId="77777777" w:rsidTr="00711391">
        <w:tc>
          <w:tcPr>
            <w:tcW w:w="1242" w:type="dxa"/>
            <w:shd w:val="clear" w:color="auto" w:fill="auto"/>
          </w:tcPr>
          <w:p w14:paraId="693F1A82" w14:textId="771C7EDA" w:rsidR="007D0568" w:rsidRPr="00211D94" w:rsidRDefault="007D0568" w:rsidP="00F55865">
            <w:pPr>
              <w:spacing w:before="120" w:after="120"/>
              <w:rPr>
                <w:rFonts w:cs="Arial"/>
                <w:b/>
                <w:color w:val="538135"/>
                <w:szCs w:val="24"/>
              </w:rPr>
            </w:pPr>
            <w:r w:rsidRPr="00211D94">
              <w:rPr>
                <w:rFonts w:cs="Arial"/>
                <w:b/>
                <w:noProof/>
                <w:color w:val="538135"/>
                <w:szCs w:val="24"/>
                <w:lang w:eastAsia="pl-PL"/>
              </w:rPr>
              <w:drawing>
                <wp:inline distT="0" distB="0" distL="0" distR="0" wp14:anchorId="11AFB708" wp14:editId="4DB8CC61">
                  <wp:extent cx="819150" cy="819150"/>
                  <wp:effectExtent l="0" t="0" r="0" b="0"/>
                  <wp:docPr id="18" name="Obraz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7970" w:type="dxa"/>
            <w:shd w:val="clear" w:color="auto" w:fill="auto"/>
          </w:tcPr>
          <w:p w14:paraId="34E8E6D6" w14:textId="1101B347" w:rsidR="007D0568" w:rsidRPr="00211D94" w:rsidRDefault="007D0568" w:rsidP="00F55865">
            <w:pPr>
              <w:spacing w:before="120" w:after="120"/>
              <w:rPr>
                <w:rFonts w:cs="Arial"/>
                <w:b/>
                <w:szCs w:val="24"/>
              </w:rPr>
            </w:pPr>
            <w:r w:rsidRPr="00211D94">
              <w:rPr>
                <w:rFonts w:cs="Arial"/>
                <w:szCs w:val="24"/>
              </w:rPr>
              <w:t>OP11 odpowiada</w:t>
            </w:r>
            <w:r w:rsidR="00D114C5" w:rsidRPr="00211D94">
              <w:rPr>
                <w:rFonts w:cs="Arial"/>
                <w:szCs w:val="24"/>
              </w:rPr>
              <w:t>ła</w:t>
            </w:r>
            <w:r w:rsidRPr="00211D94">
              <w:rPr>
                <w:rFonts w:cs="Arial"/>
                <w:szCs w:val="24"/>
              </w:rPr>
              <w:t xml:space="preserve"> na wyzwania dotyczące ograniczenia antropopresji na środowisko, poprawy środowiskowych warunków życia mieszkańców oraz wzrostu odporności regionu na zmiany klimatu poprzez inwestycje skupiające się na ograniczaniu zagrożeń naturalnych, gospodarce odpadami, gospodarce wodno-ściekowej oraz ochronie różnorodności biologicznej.</w:t>
            </w:r>
          </w:p>
        </w:tc>
      </w:tr>
    </w:tbl>
    <w:p w14:paraId="47A69B80"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0FA63CE9" w14:textId="4ADB8647" w:rsidR="007D0568" w:rsidRPr="00211D94" w:rsidRDefault="007D0568" w:rsidP="00F55865">
      <w:pPr>
        <w:tabs>
          <w:tab w:val="left" w:pos="432"/>
        </w:tabs>
        <w:spacing w:before="120" w:after="120"/>
        <w:rPr>
          <w:rFonts w:cs="Arial"/>
          <w:szCs w:val="24"/>
        </w:rPr>
      </w:pPr>
      <w:r w:rsidRPr="00211D94">
        <w:rPr>
          <w:rFonts w:cs="Arial"/>
          <w:szCs w:val="24"/>
        </w:rPr>
        <w:t>W ramach OP11</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Środowisko</w:t>
      </w:r>
      <w:r w:rsidR="003B5EF9" w:rsidRPr="00211D94">
        <w:rPr>
          <w:rFonts w:cs="Arial"/>
          <w:szCs w:val="24"/>
        </w:rPr>
        <w:t>”</w:t>
      </w:r>
      <w:r w:rsidRPr="00211D94">
        <w:rPr>
          <w:rFonts w:cs="Arial"/>
          <w:szCs w:val="24"/>
        </w:rPr>
        <w:t xml:space="preserve"> zawarto </w:t>
      </w:r>
      <w:r w:rsidRPr="00211D94">
        <w:rPr>
          <w:rFonts w:cs="Arial"/>
          <w:b/>
          <w:szCs w:val="24"/>
        </w:rPr>
        <w:t>11</w:t>
      </w:r>
      <w:r w:rsidR="005D1187" w:rsidRPr="00211D94">
        <w:rPr>
          <w:rFonts w:cs="Arial"/>
          <w:b/>
          <w:szCs w:val="24"/>
        </w:rPr>
        <w:t>6</w:t>
      </w:r>
      <w:r w:rsidRPr="00211D94">
        <w:rPr>
          <w:rFonts w:cs="Arial"/>
          <w:b/>
          <w:szCs w:val="24"/>
        </w:rPr>
        <w:t xml:space="preserve"> </w:t>
      </w:r>
      <w:r w:rsidRPr="00211D94">
        <w:rPr>
          <w:rFonts w:cs="Arial"/>
          <w:szCs w:val="24"/>
        </w:rPr>
        <w:t xml:space="preserve">umów na kwotę </w:t>
      </w:r>
      <w:r w:rsidR="005D1187" w:rsidRPr="00211D94">
        <w:rPr>
          <w:rFonts w:cs="Arial"/>
          <w:b/>
          <w:szCs w:val="24"/>
        </w:rPr>
        <w:t xml:space="preserve">208 236 130 </w:t>
      </w:r>
      <w:r w:rsidRPr="00211D94">
        <w:rPr>
          <w:rFonts w:cs="Arial"/>
          <w:b/>
          <w:szCs w:val="24"/>
        </w:rPr>
        <w:t>EUR</w:t>
      </w:r>
      <w:r w:rsidRPr="00211D94">
        <w:rPr>
          <w:rFonts w:cs="Arial"/>
          <w:szCs w:val="24"/>
        </w:rPr>
        <w:t xml:space="preserve">, w tym dofinansowanie UE </w:t>
      </w:r>
      <w:bookmarkStart w:id="168" w:name="_Hlk212740873"/>
      <w:r w:rsidR="005D1187" w:rsidRPr="00211D94">
        <w:rPr>
          <w:rFonts w:cs="Arial"/>
          <w:b/>
          <w:szCs w:val="24"/>
        </w:rPr>
        <w:t xml:space="preserve">122 813 158 </w:t>
      </w:r>
      <w:r w:rsidRPr="00211D94">
        <w:rPr>
          <w:rFonts w:cs="Arial"/>
          <w:b/>
          <w:szCs w:val="24"/>
        </w:rPr>
        <w:t>EUR</w:t>
      </w:r>
      <w:bookmarkEnd w:id="168"/>
      <w:r w:rsidRPr="00211D94">
        <w:rPr>
          <w:rFonts w:cs="Arial"/>
          <w:szCs w:val="24"/>
        </w:rPr>
        <w:t xml:space="preserve">. Tym samym kontraktacja w tej Osi została osiągnięta na poziomie </w:t>
      </w:r>
      <w:r w:rsidR="005D1187" w:rsidRPr="00211D94">
        <w:rPr>
          <w:rFonts w:cs="Arial"/>
          <w:b/>
          <w:szCs w:val="24"/>
        </w:rPr>
        <w:t>101,6</w:t>
      </w:r>
      <w:r w:rsidRPr="00211D94">
        <w:rPr>
          <w:rFonts w:cs="Arial"/>
          <w:b/>
          <w:szCs w:val="24"/>
        </w:rPr>
        <w:t>%</w:t>
      </w:r>
      <w:r w:rsidRPr="00211D94">
        <w:rPr>
          <w:rFonts w:cs="Arial"/>
          <w:szCs w:val="24"/>
        </w:rPr>
        <w:t xml:space="preserve"> alokacji przeznaczonej na realizację OP11.</w:t>
      </w:r>
    </w:p>
    <w:p w14:paraId="777B5F07" w14:textId="1F2BE563" w:rsidR="007D0568" w:rsidRPr="00211D94" w:rsidRDefault="007D0568"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B01744">
        <w:rPr>
          <w:rFonts w:cs="Arial"/>
          <w:szCs w:val="24"/>
        </w:rPr>
        <w:t xml:space="preserve"> </w:t>
      </w:r>
      <w:r w:rsidRPr="00211D94">
        <w:rPr>
          <w:rFonts w:cs="Arial"/>
          <w:szCs w:val="24"/>
        </w:rPr>
        <w:t xml:space="preserve">wydatki na kwotę </w:t>
      </w:r>
      <w:r w:rsidR="005D1187" w:rsidRPr="00211D94">
        <w:rPr>
          <w:rFonts w:cs="Arial"/>
          <w:b/>
          <w:szCs w:val="24"/>
        </w:rPr>
        <w:t xml:space="preserve">173 448 692 EUR, w tym 122 813 158 EUR </w:t>
      </w:r>
      <w:r w:rsidR="005D1187" w:rsidRPr="00211D94">
        <w:rPr>
          <w:rFonts w:cs="Arial"/>
          <w:szCs w:val="24"/>
        </w:rPr>
        <w:t>dofinansowania UE, co stanowi</w:t>
      </w:r>
      <w:r w:rsidR="005D1187" w:rsidRPr="00211D94">
        <w:rPr>
          <w:rFonts w:cs="Arial"/>
          <w:b/>
          <w:szCs w:val="24"/>
        </w:rPr>
        <w:t xml:space="preserve"> 101,6% </w:t>
      </w:r>
      <w:r w:rsidRPr="00211D94">
        <w:rPr>
          <w:rFonts w:cs="Arial"/>
          <w:szCs w:val="24"/>
        </w:rPr>
        <w:t xml:space="preserve">przeznaczonej na OP11 alokacji. </w:t>
      </w:r>
    </w:p>
    <w:p w14:paraId="4A7F8A8C" w14:textId="681DE9D4" w:rsidR="007D0568" w:rsidRPr="00211D94" w:rsidRDefault="007D0568" w:rsidP="00F55865">
      <w:pPr>
        <w:spacing w:before="120" w:after="120"/>
        <w:rPr>
          <w:rFonts w:cs="Arial"/>
          <w:szCs w:val="24"/>
        </w:rPr>
      </w:pPr>
      <w:r w:rsidRPr="00211D94">
        <w:rPr>
          <w:rFonts w:cs="Arial"/>
          <w:szCs w:val="24"/>
        </w:rPr>
        <w:t xml:space="preserve">Dla OP11 określono w odniesieniu do </w:t>
      </w:r>
      <w:r w:rsidRPr="00211D94">
        <w:rPr>
          <w:rFonts w:cs="Arial"/>
          <w:b/>
          <w:szCs w:val="24"/>
        </w:rPr>
        <w:t>ram wykonania</w:t>
      </w:r>
      <w:r w:rsidRPr="00211D94">
        <w:rPr>
          <w:rFonts w:cs="Arial"/>
          <w:szCs w:val="24"/>
        </w:rPr>
        <w:t xml:space="preserve"> </w:t>
      </w:r>
      <w:r w:rsidR="000B5C4F" w:rsidRPr="00211D94">
        <w:rPr>
          <w:rFonts w:cs="Arial"/>
          <w:szCs w:val="24"/>
        </w:rPr>
        <w:t>cztery</w:t>
      </w:r>
      <w:r w:rsidRPr="00211D94">
        <w:rPr>
          <w:rFonts w:cs="Arial"/>
          <w:szCs w:val="24"/>
        </w:rPr>
        <w:t xml:space="preserve"> wskaźniki – </w:t>
      </w:r>
      <w:r w:rsidR="000B5C4F" w:rsidRPr="00211D94">
        <w:rPr>
          <w:rFonts w:cs="Arial"/>
          <w:szCs w:val="24"/>
        </w:rPr>
        <w:t>trzy</w:t>
      </w:r>
      <w:r w:rsidRPr="00211D94">
        <w:rPr>
          <w:rFonts w:cs="Arial"/>
          <w:szCs w:val="24"/>
        </w:rPr>
        <w:t xml:space="preserve"> wskaźniki produktu i wskaźnik finansowy tj.:</w:t>
      </w:r>
    </w:p>
    <w:p w14:paraId="19F2E7F1" w14:textId="42A62089" w:rsidR="007D0568"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Liczba wspartych obiektów gospodarowania odpadami</w:t>
      </w:r>
      <w:r w:rsidRPr="00211D94">
        <w:rPr>
          <w:rFonts w:cs="Arial"/>
          <w:szCs w:val="24"/>
        </w:rPr>
        <w:t>”</w:t>
      </w:r>
      <w:r w:rsidR="007D0568" w:rsidRPr="00211D94">
        <w:rPr>
          <w:rFonts w:cs="Arial"/>
          <w:szCs w:val="24"/>
        </w:rPr>
        <w:t xml:space="preserve">, dla którego osiągnięto wartość </w:t>
      </w:r>
      <w:r w:rsidR="00B1118F" w:rsidRPr="00211D94">
        <w:rPr>
          <w:rFonts w:cs="Arial"/>
          <w:szCs w:val="24"/>
        </w:rPr>
        <w:t>30</w:t>
      </w:r>
      <w:r w:rsidR="007D0568" w:rsidRPr="00211D94">
        <w:rPr>
          <w:rFonts w:cs="Arial"/>
          <w:szCs w:val="24"/>
        </w:rPr>
        <w:t xml:space="preserve"> szt. - co powoduje, że </w:t>
      </w:r>
      <w:r w:rsidR="00B1118F" w:rsidRPr="00211D94">
        <w:rPr>
          <w:rFonts w:cs="Arial"/>
          <w:szCs w:val="24"/>
        </w:rPr>
        <w:t xml:space="preserve">cel końcowy (2023 r.) </w:t>
      </w:r>
      <w:r w:rsidR="007D0568" w:rsidRPr="00211D94">
        <w:rPr>
          <w:rFonts w:cs="Arial"/>
          <w:szCs w:val="24"/>
        </w:rPr>
        <w:t>został osiągnięty na poziomie 1</w:t>
      </w:r>
      <w:r w:rsidR="00B1118F" w:rsidRPr="00211D94">
        <w:rPr>
          <w:rFonts w:cs="Arial"/>
          <w:szCs w:val="24"/>
        </w:rPr>
        <w:t>2</w:t>
      </w:r>
      <w:r w:rsidR="007D0568" w:rsidRPr="00211D94">
        <w:rPr>
          <w:rFonts w:cs="Arial"/>
          <w:szCs w:val="24"/>
        </w:rPr>
        <w:t xml:space="preserve">0,0%, </w:t>
      </w:r>
    </w:p>
    <w:p w14:paraId="5AB17493" w14:textId="5A29FF42" w:rsidR="00B1118F"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7D0568" w:rsidRPr="00211D94">
        <w:rPr>
          <w:rFonts w:cs="Arial"/>
          <w:szCs w:val="24"/>
        </w:rPr>
        <w:t>Długość sieci kanalizacji sanitarnej</w:t>
      </w:r>
      <w:r w:rsidRPr="00211D94">
        <w:rPr>
          <w:rFonts w:cs="Arial"/>
          <w:szCs w:val="24"/>
        </w:rPr>
        <w:t>”</w:t>
      </w:r>
      <w:r w:rsidR="007D0568" w:rsidRPr="00211D94">
        <w:rPr>
          <w:rFonts w:cs="Arial"/>
          <w:szCs w:val="24"/>
        </w:rPr>
        <w:t xml:space="preserve">, dla którego osiągnięto wartość </w:t>
      </w:r>
      <w:r w:rsidR="00B1118F" w:rsidRPr="00211D94">
        <w:rPr>
          <w:rFonts w:cs="Arial"/>
          <w:szCs w:val="24"/>
        </w:rPr>
        <w:t>281,4</w:t>
      </w:r>
      <w:r w:rsidR="007D0568" w:rsidRPr="00211D94">
        <w:rPr>
          <w:rFonts w:cs="Arial"/>
          <w:szCs w:val="24"/>
        </w:rPr>
        <w:t xml:space="preserve"> km - </w:t>
      </w:r>
      <w:r w:rsidR="00B1118F" w:rsidRPr="00211D94">
        <w:rPr>
          <w:rFonts w:cs="Arial"/>
          <w:szCs w:val="24"/>
        </w:rPr>
        <w:t xml:space="preserve">co powoduje, że cel końcowy (2023 r.) został osiągnięty na poziomie 112,6%, </w:t>
      </w:r>
    </w:p>
    <w:p w14:paraId="0E1638F2" w14:textId="0C3DF1A9" w:rsidR="00B1118F" w:rsidRPr="00211D94" w:rsidRDefault="003B5EF9"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w:t>
      </w:r>
      <w:r w:rsidR="00B1118F" w:rsidRPr="00211D94">
        <w:rPr>
          <w:rFonts w:cs="Arial"/>
          <w:szCs w:val="24"/>
        </w:rPr>
        <w:t>Długość szlaków turystycznych</w:t>
      </w:r>
      <w:r w:rsidRPr="00211D94">
        <w:rPr>
          <w:rFonts w:cs="Arial"/>
          <w:szCs w:val="24"/>
        </w:rPr>
        <w:t>”</w:t>
      </w:r>
      <w:r w:rsidR="00B1118F" w:rsidRPr="00211D94">
        <w:rPr>
          <w:rFonts w:cs="Arial"/>
          <w:szCs w:val="24"/>
        </w:rPr>
        <w:t xml:space="preserve">, dla którego osiągnięto wartość 200,5 km - co powoduje, że cel końcowy (2023 r.) został osiągnięty na poziomie </w:t>
      </w:r>
      <w:r w:rsidR="002D4ECD" w:rsidRPr="00211D94">
        <w:rPr>
          <w:rFonts w:cs="Arial"/>
          <w:szCs w:val="24"/>
        </w:rPr>
        <w:t>200,1</w:t>
      </w:r>
      <w:r w:rsidR="00B1118F" w:rsidRPr="00211D94">
        <w:rPr>
          <w:rFonts w:cs="Arial"/>
          <w:szCs w:val="24"/>
        </w:rPr>
        <w:t xml:space="preserve">%, </w:t>
      </w:r>
    </w:p>
    <w:p w14:paraId="4817E9F5" w14:textId="1A9E3DE6" w:rsidR="007D0568" w:rsidRPr="00211D94" w:rsidRDefault="007D0568" w:rsidP="00F55865">
      <w:pPr>
        <w:pStyle w:val="Akapitzlist"/>
        <w:numPr>
          <w:ilvl w:val="0"/>
          <w:numId w:val="10"/>
        </w:numPr>
        <w:spacing w:before="120" w:after="120" w:line="276" w:lineRule="auto"/>
        <w:ind w:left="360"/>
        <w:contextualSpacing w:val="0"/>
        <w:rPr>
          <w:rFonts w:cs="Arial"/>
          <w:szCs w:val="24"/>
        </w:rPr>
      </w:pPr>
      <w:r w:rsidRPr="00211D94">
        <w:rPr>
          <w:rFonts w:cs="Arial"/>
          <w:szCs w:val="24"/>
        </w:rPr>
        <w:t xml:space="preserve">Całkowita kwota certyfikowanych wydatków kwalifikowalnych – certyfikowano </w:t>
      </w:r>
      <w:r w:rsidR="002D4ECD" w:rsidRPr="00211D94">
        <w:rPr>
          <w:rFonts w:cs="Arial"/>
          <w:szCs w:val="24"/>
        </w:rPr>
        <w:t xml:space="preserve">170 983 912 </w:t>
      </w:r>
      <w:r w:rsidRPr="00211D94">
        <w:rPr>
          <w:rFonts w:cs="Arial"/>
          <w:szCs w:val="24"/>
        </w:rPr>
        <w:t xml:space="preserve">EUR – </w:t>
      </w:r>
      <w:r w:rsidR="002D4ECD" w:rsidRPr="00211D94">
        <w:rPr>
          <w:rFonts w:cs="Arial"/>
          <w:szCs w:val="24"/>
        </w:rPr>
        <w:t>co stanowi 120,2% celu końcowego (2023 r.).</w:t>
      </w:r>
      <w:r w:rsidR="00775AC1" w:rsidRPr="00211D94">
        <w:rPr>
          <w:rFonts w:cs="Arial"/>
          <w:szCs w:val="24"/>
        </w:rPr>
        <w:t xml:space="preserve"> </w:t>
      </w:r>
      <w:r w:rsidR="00A51349" w:rsidRPr="00211D94">
        <w:rPr>
          <w:rFonts w:cs="Arial"/>
          <w:szCs w:val="24"/>
        </w:rPr>
        <w:t>Wskaźnik finansowy obejmuje wydatki kwalifikowalne przekazane do KE.</w:t>
      </w:r>
    </w:p>
    <w:p w14:paraId="2126C436" w14:textId="7382639F" w:rsidR="00215C87" w:rsidRPr="00211D94" w:rsidRDefault="00215C87" w:rsidP="00F55865">
      <w:pPr>
        <w:tabs>
          <w:tab w:val="left" w:pos="432"/>
        </w:tabs>
        <w:spacing w:before="120" w:after="120"/>
        <w:rPr>
          <w:rFonts w:cs="Arial"/>
          <w:szCs w:val="24"/>
        </w:rPr>
      </w:pPr>
      <w:r w:rsidRPr="00211D94">
        <w:rPr>
          <w:rFonts w:cs="Arial"/>
          <w:szCs w:val="24"/>
        </w:rPr>
        <w:t>W Działaniu 11.1</w:t>
      </w:r>
      <w:r w:rsidR="00BF3C2E" w:rsidRPr="00211D94">
        <w:rPr>
          <w:rFonts w:cs="Arial"/>
          <w:szCs w:val="24"/>
        </w:rPr>
        <w:t>.</w:t>
      </w:r>
      <w:r w:rsidRPr="00211D94">
        <w:rPr>
          <w:rFonts w:cs="Arial"/>
          <w:szCs w:val="24"/>
        </w:rPr>
        <w:t xml:space="preserve"> </w:t>
      </w:r>
      <w:r w:rsidR="003B5EF9" w:rsidRPr="00211D94">
        <w:rPr>
          <w:rFonts w:cs="Arial"/>
          <w:szCs w:val="24"/>
        </w:rPr>
        <w:t>„</w:t>
      </w:r>
      <w:r w:rsidRPr="00211D94">
        <w:rPr>
          <w:rFonts w:cs="Arial"/>
          <w:iCs/>
          <w:szCs w:val="24"/>
        </w:rPr>
        <w:t>Ograniczanie zagrożeń naturalnych</w:t>
      </w:r>
      <w:r w:rsidR="003B5EF9" w:rsidRPr="00211D94">
        <w:rPr>
          <w:rFonts w:cs="Arial"/>
          <w:iCs/>
          <w:szCs w:val="24"/>
        </w:rPr>
        <w:t>”</w:t>
      </w:r>
      <w:r w:rsidRPr="00211D94">
        <w:rPr>
          <w:rFonts w:cs="Arial"/>
          <w:szCs w:val="24"/>
        </w:rPr>
        <w:t xml:space="preserve"> (PI 5b)</w:t>
      </w:r>
      <w:r w:rsidR="000D49CD" w:rsidRPr="00211D94">
        <w:rPr>
          <w:rFonts w:cs="Arial"/>
          <w:szCs w:val="24"/>
        </w:rPr>
        <w:t xml:space="preserve"> zrealizowano 20 projektów dotyczących m. in. budowy lub przebudowy urządzeń małej retencji (w tym zbiorników retencyjnych) oraz tworzenia innych form zwiększania retencyjności; budowy, rozbudowy i przebudowy systemów odbioru, odprowadzania i oczyszczania wód opadowych i roztopowych; zakupu i modernizacji specjalistycznego wyposażenia jednostek ratownictwa a także zakupu i instalac</w:t>
      </w:r>
      <w:r w:rsidR="000B5C4F" w:rsidRPr="00211D94">
        <w:rPr>
          <w:rFonts w:cs="Arial"/>
          <w:szCs w:val="24"/>
        </w:rPr>
        <w:t>ji</w:t>
      </w:r>
      <w:r w:rsidR="000D49CD" w:rsidRPr="00211D94">
        <w:rPr>
          <w:rFonts w:cs="Arial"/>
          <w:szCs w:val="24"/>
        </w:rPr>
        <w:t xml:space="preserve"> systemów powiadamiania i alarmowania ludności oraz zintegrowanej łączności. Przełożyło się to na realizację wskaźników:</w:t>
      </w:r>
    </w:p>
    <w:p w14:paraId="147A29E1" w14:textId="38A38519" w:rsidR="000D49CD" w:rsidRPr="00211D94" w:rsidRDefault="003B5EF9" w:rsidP="00F55865">
      <w:pPr>
        <w:pStyle w:val="Akapitzlist"/>
        <w:numPr>
          <w:ilvl w:val="0"/>
          <w:numId w:val="63"/>
        </w:numPr>
        <w:tabs>
          <w:tab w:val="left" w:pos="432"/>
        </w:tabs>
        <w:spacing w:before="120" w:after="120" w:line="276" w:lineRule="auto"/>
        <w:rPr>
          <w:rFonts w:cs="Arial"/>
          <w:szCs w:val="24"/>
        </w:rPr>
      </w:pPr>
      <w:r w:rsidRPr="00211D94">
        <w:rPr>
          <w:rFonts w:cs="Arial"/>
          <w:szCs w:val="24"/>
        </w:rPr>
        <w:t>„</w:t>
      </w:r>
      <w:r w:rsidR="000D49CD" w:rsidRPr="00211D94">
        <w:rPr>
          <w:rFonts w:cs="Arial"/>
          <w:szCs w:val="24"/>
        </w:rPr>
        <w:t>Pojemność obiektów małej retencji</w:t>
      </w:r>
      <w:r w:rsidRPr="00211D94">
        <w:rPr>
          <w:rFonts w:cs="Arial"/>
          <w:szCs w:val="24"/>
        </w:rPr>
        <w:t>”</w:t>
      </w:r>
      <w:r w:rsidR="00701434" w:rsidRPr="00211D94">
        <w:rPr>
          <w:rFonts w:cs="Arial"/>
          <w:szCs w:val="24"/>
        </w:rPr>
        <w:t xml:space="preserve"> -</w:t>
      </w:r>
      <w:r w:rsidR="000D49CD" w:rsidRPr="00211D94">
        <w:rPr>
          <w:rFonts w:cs="Arial"/>
          <w:szCs w:val="24"/>
        </w:rPr>
        <w:t xml:space="preserve"> 276 511,2 m</w:t>
      </w:r>
      <w:r w:rsidR="000D49CD" w:rsidRPr="00211D94">
        <w:rPr>
          <w:rFonts w:cs="Arial"/>
          <w:szCs w:val="24"/>
          <w:vertAlign w:val="superscript"/>
        </w:rPr>
        <w:t>3</w:t>
      </w:r>
      <w:r w:rsidR="000D49CD" w:rsidRPr="00211D94">
        <w:rPr>
          <w:rFonts w:cs="Arial"/>
          <w:szCs w:val="24"/>
        </w:rPr>
        <w:t xml:space="preserve"> (138,3% wartości docelowej);</w:t>
      </w:r>
    </w:p>
    <w:p w14:paraId="05E25252" w14:textId="2A2B666C" w:rsidR="000D49CD" w:rsidRPr="00211D94" w:rsidRDefault="003B5EF9" w:rsidP="00F55865">
      <w:pPr>
        <w:pStyle w:val="Akapitzlist"/>
        <w:numPr>
          <w:ilvl w:val="0"/>
          <w:numId w:val="63"/>
        </w:numPr>
        <w:tabs>
          <w:tab w:val="left" w:pos="432"/>
        </w:tabs>
        <w:spacing w:before="120" w:after="120" w:line="276" w:lineRule="auto"/>
        <w:rPr>
          <w:rFonts w:cs="Arial"/>
          <w:szCs w:val="24"/>
        </w:rPr>
      </w:pPr>
      <w:r w:rsidRPr="00211D94">
        <w:rPr>
          <w:rFonts w:cs="Arial"/>
          <w:szCs w:val="24"/>
        </w:rPr>
        <w:t>„</w:t>
      </w:r>
      <w:r w:rsidR="000D49CD" w:rsidRPr="00211D94">
        <w:rPr>
          <w:rFonts w:cs="Arial"/>
          <w:szCs w:val="24"/>
        </w:rPr>
        <w:t>Długość sieci kanalizacji deszczowej</w:t>
      </w:r>
      <w:r w:rsidRPr="00211D94">
        <w:rPr>
          <w:rFonts w:cs="Arial"/>
          <w:szCs w:val="24"/>
        </w:rPr>
        <w:t>”</w:t>
      </w:r>
      <w:r w:rsidR="000D49CD" w:rsidRPr="00211D94">
        <w:rPr>
          <w:rFonts w:cs="Arial"/>
          <w:szCs w:val="24"/>
        </w:rPr>
        <w:t xml:space="preserve"> – 49,3 km (123,1% wartości docelowej);</w:t>
      </w:r>
    </w:p>
    <w:p w14:paraId="33D4D968" w14:textId="784F046D" w:rsidR="00C2704C" w:rsidRPr="00211D94" w:rsidRDefault="003B5EF9" w:rsidP="00F55865">
      <w:pPr>
        <w:pStyle w:val="Akapitzlist"/>
        <w:numPr>
          <w:ilvl w:val="0"/>
          <w:numId w:val="63"/>
        </w:numPr>
        <w:tabs>
          <w:tab w:val="left" w:pos="432"/>
        </w:tabs>
        <w:spacing w:before="120" w:after="120" w:line="276" w:lineRule="auto"/>
        <w:rPr>
          <w:rFonts w:cs="Arial"/>
          <w:szCs w:val="24"/>
        </w:rPr>
      </w:pPr>
      <w:r w:rsidRPr="00211D94">
        <w:rPr>
          <w:rFonts w:cs="Arial"/>
          <w:szCs w:val="24"/>
        </w:rPr>
        <w:t>„</w:t>
      </w:r>
      <w:r w:rsidR="000D49CD" w:rsidRPr="00211D94">
        <w:rPr>
          <w:rFonts w:cs="Arial"/>
          <w:szCs w:val="24"/>
        </w:rPr>
        <w:t>Liczba ludności odnoszącej korzyści ze środków ochrony przeciwpowodziowej</w:t>
      </w:r>
      <w:r w:rsidRPr="00211D94">
        <w:rPr>
          <w:rFonts w:cs="Arial"/>
          <w:szCs w:val="24"/>
        </w:rPr>
        <w:t>”</w:t>
      </w:r>
      <w:r w:rsidR="00C2704C" w:rsidRPr="00211D94">
        <w:rPr>
          <w:rFonts w:cs="Arial"/>
          <w:szCs w:val="24"/>
        </w:rPr>
        <w:t xml:space="preserve"> </w:t>
      </w:r>
      <w:r w:rsidR="00701434" w:rsidRPr="00211D94">
        <w:rPr>
          <w:rFonts w:cs="Arial"/>
          <w:szCs w:val="24"/>
        </w:rPr>
        <w:t>– 627 177 osób (104,5% wartości docelowej)</w:t>
      </w:r>
      <w:r w:rsidR="00C2704C" w:rsidRPr="00211D94">
        <w:rPr>
          <w:rFonts w:cs="Arial"/>
          <w:szCs w:val="24"/>
        </w:rPr>
        <w:t xml:space="preserve">. </w:t>
      </w:r>
    </w:p>
    <w:p w14:paraId="05C630DA" w14:textId="43942B40" w:rsidR="00701434" w:rsidRPr="00211D94" w:rsidRDefault="000B5C4F" w:rsidP="00F55865">
      <w:pPr>
        <w:tabs>
          <w:tab w:val="left" w:pos="432"/>
        </w:tabs>
        <w:spacing w:before="120" w:after="120"/>
        <w:rPr>
          <w:rFonts w:cs="Arial"/>
          <w:szCs w:val="24"/>
        </w:rPr>
      </w:pPr>
      <w:r w:rsidRPr="00211D94">
        <w:rPr>
          <w:rFonts w:cs="Arial"/>
          <w:szCs w:val="24"/>
        </w:rPr>
        <w:t>Należy zauważyć, że p</w:t>
      </w:r>
      <w:r w:rsidR="00C2704C" w:rsidRPr="00211D94">
        <w:rPr>
          <w:rFonts w:cs="Arial"/>
          <w:szCs w:val="24"/>
        </w:rPr>
        <w:t xml:space="preserve">rojekty dofinansowane w </w:t>
      </w:r>
      <w:r w:rsidR="00080026" w:rsidRPr="00211D94">
        <w:rPr>
          <w:rFonts w:cs="Arial"/>
          <w:szCs w:val="24"/>
        </w:rPr>
        <w:t>D</w:t>
      </w:r>
      <w:r w:rsidR="00C2704C" w:rsidRPr="00211D94">
        <w:rPr>
          <w:rFonts w:cs="Arial"/>
          <w:szCs w:val="24"/>
        </w:rPr>
        <w:t xml:space="preserve">ziałaniu 11.1 stanowią </w:t>
      </w:r>
      <w:r w:rsidR="00C2704C" w:rsidRPr="00211D94">
        <w:rPr>
          <w:rFonts w:cs="Arial"/>
          <w:bCs/>
          <w:szCs w:val="24"/>
        </w:rPr>
        <w:t>komplementarne uzupełnienie</w:t>
      </w:r>
      <w:r w:rsidR="00C2704C" w:rsidRPr="00211D94">
        <w:rPr>
          <w:rFonts w:cs="Arial"/>
          <w:b/>
          <w:bCs/>
          <w:szCs w:val="24"/>
        </w:rPr>
        <w:t xml:space="preserve"> </w:t>
      </w:r>
      <w:r w:rsidR="00C2704C" w:rsidRPr="00211D94">
        <w:rPr>
          <w:rFonts w:cs="Arial"/>
          <w:szCs w:val="24"/>
        </w:rPr>
        <w:t xml:space="preserve">przedsięwzięć dotyczących adaptacji do zmian klimatu i przeciwdziałania zagrożeniom naturalnym (w tym w szczególności powodziom), finansowanych z innych źródeł – </w:t>
      </w:r>
      <w:r w:rsidR="008935EE" w:rsidRPr="00211D94">
        <w:rPr>
          <w:rFonts w:cs="Arial"/>
          <w:szCs w:val="24"/>
        </w:rPr>
        <w:t>P</w:t>
      </w:r>
      <w:r w:rsidRPr="00211D94">
        <w:rPr>
          <w:rFonts w:cs="Arial"/>
          <w:szCs w:val="24"/>
        </w:rPr>
        <w:t>rogram Operacyjny Infrastruktura i Środowisko</w:t>
      </w:r>
      <w:r w:rsidR="00C2704C" w:rsidRPr="00211D94">
        <w:rPr>
          <w:rFonts w:cs="Arial"/>
          <w:szCs w:val="24"/>
        </w:rPr>
        <w:t xml:space="preserve"> 2014-2020 oraz funduszy ekologicznych (</w:t>
      </w:r>
      <w:r w:rsidRPr="00211D94">
        <w:rPr>
          <w:rFonts w:cs="Arial"/>
          <w:szCs w:val="24"/>
        </w:rPr>
        <w:t>Wojewódzki Fundusz Ochrony Środowiska i Gospodarki Wodnej</w:t>
      </w:r>
      <w:r w:rsidR="00C2704C" w:rsidRPr="00211D94">
        <w:rPr>
          <w:rFonts w:cs="Arial"/>
          <w:szCs w:val="24"/>
        </w:rPr>
        <w:t xml:space="preserve"> w Gdańsku i </w:t>
      </w:r>
      <w:r w:rsidRPr="00211D94">
        <w:rPr>
          <w:rFonts w:cs="Arial"/>
          <w:szCs w:val="24"/>
        </w:rPr>
        <w:t>Narodowy Fundusz Ochrony Środowiska i Gospodarki Wodnej</w:t>
      </w:r>
      <w:r w:rsidR="00C2704C" w:rsidRPr="00211D94">
        <w:rPr>
          <w:rFonts w:cs="Arial"/>
          <w:szCs w:val="24"/>
        </w:rPr>
        <w:t xml:space="preserve">). </w:t>
      </w:r>
    </w:p>
    <w:p w14:paraId="21E10FCF" w14:textId="3283CFC3" w:rsidR="000D49CD" w:rsidRPr="00211D94" w:rsidRDefault="000D49CD" w:rsidP="00F55865">
      <w:pPr>
        <w:tabs>
          <w:tab w:val="left" w:pos="432"/>
        </w:tabs>
        <w:spacing w:before="120" w:after="120"/>
        <w:rPr>
          <w:rFonts w:cs="Arial"/>
          <w:szCs w:val="24"/>
        </w:rPr>
      </w:pPr>
      <w:r w:rsidRPr="00211D94">
        <w:rPr>
          <w:rFonts w:cs="Arial"/>
          <w:szCs w:val="24"/>
          <w:lang w:eastAsia="pl-PL"/>
        </w:rPr>
        <w:t xml:space="preserve">Realizacja w województwie pomorskim dużej liczby zróżnicowanych, a jednocześnie złożonych projektów w obszarze adaptacji do zmian klimatu i przeciwdziałania zagrożeniom naturalnym dowodzi, że w regionie działają podmioty, które </w:t>
      </w:r>
      <w:r w:rsidRPr="00211D94">
        <w:rPr>
          <w:rFonts w:cs="Arial"/>
          <w:bCs/>
          <w:szCs w:val="24"/>
          <w:lang w:eastAsia="pl-PL"/>
        </w:rPr>
        <w:t xml:space="preserve">posiadają potencjał w zakresie realizacji dojrzałych przedsięwzięć dotyczących nowoczesnej ochrony przeciwpowodziowej, w tym retencjonowania wód opadowych, </w:t>
      </w:r>
      <w:r w:rsidRPr="00211D94">
        <w:rPr>
          <w:rFonts w:cs="Arial"/>
          <w:szCs w:val="24"/>
          <w:lang w:eastAsia="pl-PL"/>
        </w:rPr>
        <w:t>wykorzystujących proekologiczne i preadaptacyjne metody zagospodarowania i ochrony wód</w:t>
      </w:r>
      <w:r w:rsidR="00E83A54" w:rsidRPr="00211D94">
        <w:rPr>
          <w:rFonts w:cs="Arial"/>
          <w:szCs w:val="24"/>
          <w:lang w:eastAsia="pl-PL"/>
        </w:rPr>
        <w:t>.</w:t>
      </w:r>
    </w:p>
    <w:p w14:paraId="5430DE37" w14:textId="7788FFB5" w:rsidR="00C2704C" w:rsidRPr="00211D94" w:rsidRDefault="007D0568" w:rsidP="0055665A">
      <w:pPr>
        <w:tabs>
          <w:tab w:val="left" w:pos="432"/>
        </w:tabs>
        <w:spacing w:before="120" w:after="120"/>
        <w:rPr>
          <w:rFonts w:cs="Arial"/>
          <w:szCs w:val="24"/>
        </w:rPr>
      </w:pPr>
      <w:r w:rsidRPr="00211D94">
        <w:rPr>
          <w:rFonts w:cs="Arial"/>
          <w:szCs w:val="24"/>
        </w:rPr>
        <w:t xml:space="preserve">W Działaniu 11.2. </w:t>
      </w:r>
      <w:r w:rsidR="003B5EF9" w:rsidRPr="00211D94">
        <w:rPr>
          <w:rFonts w:cs="Arial"/>
          <w:szCs w:val="24"/>
        </w:rPr>
        <w:t>„</w:t>
      </w:r>
      <w:r w:rsidRPr="00211D94">
        <w:rPr>
          <w:rFonts w:cs="Arial"/>
          <w:szCs w:val="24"/>
        </w:rPr>
        <w:t>Gospodarka odpadami</w:t>
      </w:r>
      <w:r w:rsidR="003B5EF9" w:rsidRPr="00211D94">
        <w:rPr>
          <w:rFonts w:cs="Arial"/>
          <w:szCs w:val="24"/>
        </w:rPr>
        <w:t>”</w:t>
      </w:r>
      <w:r w:rsidRPr="00211D94">
        <w:rPr>
          <w:rFonts w:cs="Arial"/>
          <w:szCs w:val="24"/>
        </w:rPr>
        <w:t xml:space="preserve"> (PI 6a) </w:t>
      </w:r>
      <w:r w:rsidR="00C2704C" w:rsidRPr="00211D94">
        <w:rPr>
          <w:rFonts w:cs="Arial"/>
          <w:szCs w:val="24"/>
        </w:rPr>
        <w:t xml:space="preserve">wspierane były różnego rodzaju przedsięwzięcia ukierunkowane na zwiększenie efektywności systemów zagospodarowania odpadów komunalnych. Największa </w:t>
      </w:r>
      <w:r w:rsidR="00316322" w:rsidRPr="00211D94">
        <w:rPr>
          <w:rFonts w:cs="Arial"/>
          <w:szCs w:val="24"/>
        </w:rPr>
        <w:t>część</w:t>
      </w:r>
      <w:r w:rsidR="00C2704C" w:rsidRPr="00211D94">
        <w:rPr>
          <w:rFonts w:cs="Arial"/>
          <w:szCs w:val="24"/>
        </w:rPr>
        <w:t xml:space="preserve"> środków w </w:t>
      </w:r>
      <w:r w:rsidR="00701434" w:rsidRPr="00211D94">
        <w:rPr>
          <w:rFonts w:cs="Arial"/>
          <w:szCs w:val="24"/>
        </w:rPr>
        <w:t>D</w:t>
      </w:r>
      <w:r w:rsidR="00C2704C" w:rsidRPr="00211D94">
        <w:rPr>
          <w:rFonts w:cs="Arial"/>
          <w:szCs w:val="24"/>
        </w:rPr>
        <w:t>ziałaniu 11.2 przeznaczon</w:t>
      </w:r>
      <w:r w:rsidR="00316322" w:rsidRPr="00211D94">
        <w:rPr>
          <w:rFonts w:cs="Arial"/>
          <w:szCs w:val="24"/>
        </w:rPr>
        <w:t>o</w:t>
      </w:r>
      <w:r w:rsidR="00C2704C" w:rsidRPr="00211D94">
        <w:rPr>
          <w:rFonts w:cs="Arial"/>
          <w:szCs w:val="24"/>
        </w:rPr>
        <w:t xml:space="preserve"> na projekty kompleksowe, obejmujące rozbudowę instalacji posiadających status Regionalnej Instalacji Przetwarzania Odpadów Komunalnych (RIPOK) o sortownie, kompostownie oraz instalacje do recyklingu, natomiast największa liczba projektów dotyczyła budowy lub rozbudowy i modernizacji </w:t>
      </w:r>
      <w:r w:rsidR="0055665A" w:rsidRPr="00211D94">
        <w:rPr>
          <w:rFonts w:cs="Arial"/>
          <w:szCs w:val="24"/>
        </w:rPr>
        <w:t>Punktów Selektywnej Zbiórki Odpadów Komunalnych (</w:t>
      </w:r>
      <w:r w:rsidR="00C2704C" w:rsidRPr="00211D94">
        <w:rPr>
          <w:rFonts w:cs="Arial"/>
          <w:szCs w:val="24"/>
        </w:rPr>
        <w:t>PSZOK</w:t>
      </w:r>
      <w:r w:rsidR="0055665A" w:rsidRPr="00211D94">
        <w:rPr>
          <w:rFonts w:cs="Arial"/>
          <w:szCs w:val="24"/>
        </w:rPr>
        <w:t>)</w:t>
      </w:r>
      <w:r w:rsidR="00C2704C" w:rsidRPr="00211D94">
        <w:rPr>
          <w:rFonts w:cs="Arial"/>
          <w:szCs w:val="24"/>
        </w:rPr>
        <w:t>.</w:t>
      </w:r>
      <w:r w:rsidR="00E83A54" w:rsidRPr="00211D94">
        <w:rPr>
          <w:rFonts w:cs="Arial"/>
          <w:szCs w:val="24"/>
        </w:rPr>
        <w:t xml:space="preserve"> W ramach Działania 11.2 osiągnięto 120% wartości docelowej wskaźnika </w:t>
      </w:r>
      <w:r w:rsidR="003B5EF9" w:rsidRPr="00211D94">
        <w:rPr>
          <w:rFonts w:cs="Arial"/>
          <w:szCs w:val="24"/>
        </w:rPr>
        <w:t>„</w:t>
      </w:r>
      <w:r w:rsidR="00E83A54" w:rsidRPr="00211D94">
        <w:rPr>
          <w:rFonts w:cs="Arial"/>
          <w:szCs w:val="24"/>
        </w:rPr>
        <w:t>Liczba wspartych obiektów gospodarowania odpadami</w:t>
      </w:r>
      <w:r w:rsidR="003B5EF9" w:rsidRPr="00211D94">
        <w:rPr>
          <w:rFonts w:cs="Arial"/>
          <w:szCs w:val="24"/>
        </w:rPr>
        <w:t>”</w:t>
      </w:r>
      <w:r w:rsidR="00E83A54" w:rsidRPr="00211D94">
        <w:rPr>
          <w:rFonts w:cs="Arial"/>
          <w:szCs w:val="24"/>
        </w:rPr>
        <w:t xml:space="preserve"> (30 szt.)</w:t>
      </w:r>
      <w:r w:rsidR="00701434" w:rsidRPr="00211D94">
        <w:rPr>
          <w:rFonts w:cs="Arial"/>
          <w:szCs w:val="24"/>
        </w:rPr>
        <w:t>.</w:t>
      </w:r>
    </w:p>
    <w:p w14:paraId="4114B8E6" w14:textId="4710286D" w:rsidR="00E83A54" w:rsidRPr="00211D94" w:rsidRDefault="00E83A54" w:rsidP="00F55865">
      <w:pPr>
        <w:tabs>
          <w:tab w:val="left" w:pos="432"/>
        </w:tabs>
        <w:spacing w:before="120" w:after="120"/>
        <w:rPr>
          <w:rFonts w:cs="Arial"/>
          <w:szCs w:val="24"/>
        </w:rPr>
      </w:pPr>
      <w:r w:rsidRPr="00211D94">
        <w:rPr>
          <w:rFonts w:cs="Arial"/>
          <w:szCs w:val="24"/>
        </w:rPr>
        <w:t>Koncentrację wsparcia na rozwoju systemów selektywnego zbierania odpadów komunalnych oraz rozwoju instalacji do zagospodarowania odpadów komunalnych, ze szczególnym uwzględnieniem instalacji do zagospodarowania odpadów ulegających biodegradacji, należy ocenić jako wysoce trafną i korzystną dla realizacji wyznaczonego celu szczegółowego, jakim jest zwiększona efektywność systemów zagospodarowania odpadów komunalnych. Na szczególną uwagę zasługuje fakt, iż wszystkim projektom towarzyszyły działania edukacyjne, które są niezwykle istotne ze względu na zapobieganie powstawaniu odpadów.</w:t>
      </w:r>
    </w:p>
    <w:p w14:paraId="7A2AD637" w14:textId="7F83D6AA" w:rsidR="00E83A54" w:rsidRPr="00211D94" w:rsidRDefault="00E83A54" w:rsidP="00F55865">
      <w:pPr>
        <w:tabs>
          <w:tab w:val="left" w:pos="432"/>
        </w:tabs>
        <w:spacing w:before="120" w:after="120"/>
        <w:rPr>
          <w:rFonts w:cs="Arial"/>
          <w:szCs w:val="24"/>
        </w:rPr>
      </w:pPr>
      <w:r w:rsidRPr="00211D94">
        <w:rPr>
          <w:rFonts w:cs="Arial"/>
          <w:szCs w:val="24"/>
        </w:rPr>
        <w:t>Wysoka dynamika zmiany udziału odpadów zbieranych selektywnie w gminach oraz innych korzystnych zmian w obszarze zagospodarowania odpadów komunalnych jest wypadkową wielu działań ukierunkowanych na rozwój systemu gospodarowania odpadami komunalnymi, wzajemnie powiązanych i realizowanych konsekwentnie z wykorzystaniem różnych programów i funduszy. RPO WP jest niewątpliwie jednym z elementów wpływających na korzystne przemiany regionalnego systemu gospodarowania odpadami komunalnymi</w:t>
      </w:r>
      <w:r w:rsidR="008935EE" w:rsidRPr="00211D94">
        <w:rPr>
          <w:rFonts w:cs="Arial"/>
          <w:szCs w:val="24"/>
        </w:rPr>
        <w:t>.</w:t>
      </w:r>
    </w:p>
    <w:p w14:paraId="220AA167" w14:textId="40AB7DDA" w:rsidR="00F71D9D" w:rsidRPr="00211D94" w:rsidRDefault="00F71D9D" w:rsidP="00F55865">
      <w:pPr>
        <w:tabs>
          <w:tab w:val="left" w:pos="432"/>
        </w:tabs>
        <w:spacing w:before="120" w:after="120"/>
        <w:rPr>
          <w:rFonts w:cs="Arial"/>
          <w:szCs w:val="24"/>
        </w:rPr>
      </w:pPr>
      <w:r w:rsidRPr="00211D94">
        <w:rPr>
          <w:rFonts w:cs="Arial"/>
          <w:bCs/>
          <w:szCs w:val="24"/>
        </w:rPr>
        <w:t>W Działaniu 11.3</w:t>
      </w:r>
      <w:r w:rsidR="008935EE" w:rsidRPr="00211D94">
        <w:rPr>
          <w:rFonts w:cs="Arial"/>
          <w:bCs/>
          <w:szCs w:val="24"/>
        </w:rPr>
        <w:t>.</w:t>
      </w:r>
      <w:r w:rsidRPr="00211D94">
        <w:rPr>
          <w:rFonts w:cs="Arial"/>
          <w:bCs/>
          <w:szCs w:val="24"/>
        </w:rPr>
        <w:t xml:space="preserve"> </w:t>
      </w:r>
      <w:r w:rsidR="003B5EF9" w:rsidRPr="00211D94">
        <w:rPr>
          <w:rFonts w:cs="Arial"/>
          <w:bCs/>
          <w:szCs w:val="24"/>
        </w:rPr>
        <w:t>„</w:t>
      </w:r>
      <w:r w:rsidRPr="00211D94">
        <w:rPr>
          <w:rFonts w:cs="Arial"/>
          <w:bCs/>
          <w:iCs/>
          <w:szCs w:val="24"/>
        </w:rPr>
        <w:t>Gospodarka wodno-ściekowa</w:t>
      </w:r>
      <w:r w:rsidR="003B5EF9" w:rsidRPr="00211D94">
        <w:rPr>
          <w:rFonts w:cs="Arial"/>
          <w:bCs/>
          <w:iCs/>
          <w:szCs w:val="24"/>
        </w:rPr>
        <w:t>”</w:t>
      </w:r>
      <w:r w:rsidR="005F299E" w:rsidRPr="00211D94">
        <w:rPr>
          <w:rFonts w:cs="Arial"/>
          <w:szCs w:val="24"/>
        </w:rPr>
        <w:t xml:space="preserve"> </w:t>
      </w:r>
      <w:r w:rsidRPr="00211D94">
        <w:rPr>
          <w:rFonts w:cs="Arial"/>
          <w:szCs w:val="24"/>
        </w:rPr>
        <w:t>(PI 6b)</w:t>
      </w:r>
      <w:r w:rsidR="00701434" w:rsidRPr="00211D94">
        <w:rPr>
          <w:rFonts w:cs="Arial"/>
          <w:szCs w:val="24"/>
        </w:rPr>
        <w:t xml:space="preserve"> </w:t>
      </w:r>
      <w:r w:rsidRPr="00211D94">
        <w:rPr>
          <w:rFonts w:cs="Arial"/>
          <w:szCs w:val="24"/>
        </w:rPr>
        <w:t xml:space="preserve">przeprowadzono </w:t>
      </w:r>
      <w:r w:rsidR="008935EE" w:rsidRPr="00211D94">
        <w:rPr>
          <w:rFonts w:cs="Arial"/>
          <w:szCs w:val="24"/>
        </w:rPr>
        <w:t>dwa</w:t>
      </w:r>
      <w:r w:rsidRPr="00211D94">
        <w:rPr>
          <w:rFonts w:cs="Arial"/>
          <w:szCs w:val="24"/>
        </w:rPr>
        <w:t xml:space="preserve"> konkursowe nabory wniosków dla projektów dotyczących budowy lub rozbudowy zbiorczych systemów odprowadzania i oczyszczania ścieków komunalnych, w tym zagospodarowania osadów ściekowych, w aglomeracjach od 2 do 10 tys. RLM, a także dla projektów dotyczących monitoringu wód powierzchniowych i podziemnych. Ponadto zastosowano tryb pozakonkursowy dla przedsięwzięcia strategicznego w zakresie poprawy jakości oraz ograniczenia strat wody w Centralnym Wodociągu Żuławskim (wskazanego w RPS w zakresie energetyki i środowiska „</w:t>
      </w:r>
      <w:proofErr w:type="spellStart"/>
      <w:r w:rsidRPr="00211D94">
        <w:rPr>
          <w:rFonts w:cs="Arial"/>
          <w:szCs w:val="24"/>
        </w:rPr>
        <w:t>Ekoefektywne</w:t>
      </w:r>
      <w:proofErr w:type="spellEnd"/>
      <w:r w:rsidRPr="00211D94">
        <w:rPr>
          <w:rFonts w:cs="Arial"/>
          <w:szCs w:val="24"/>
        </w:rPr>
        <w:t xml:space="preserve"> Pomorze”). </w:t>
      </w:r>
    </w:p>
    <w:p w14:paraId="23678C09" w14:textId="2036CFA5" w:rsidR="00F71D9D" w:rsidRPr="00211D94" w:rsidRDefault="00F71D9D" w:rsidP="00F55865">
      <w:pPr>
        <w:tabs>
          <w:tab w:val="left" w:pos="432"/>
        </w:tabs>
        <w:spacing w:before="120" w:after="120"/>
        <w:rPr>
          <w:rFonts w:cs="Arial"/>
          <w:szCs w:val="24"/>
        </w:rPr>
      </w:pPr>
      <w:r w:rsidRPr="00211D94">
        <w:rPr>
          <w:rFonts w:cs="Arial"/>
          <w:szCs w:val="24"/>
        </w:rPr>
        <w:t xml:space="preserve">W efekcie przeprowadzonych naborów dofinansowano 38 projektów, w ramach których </w:t>
      </w:r>
      <w:r w:rsidR="00BB2502" w:rsidRPr="00211D94">
        <w:rPr>
          <w:rFonts w:cs="Arial"/>
          <w:szCs w:val="24"/>
        </w:rPr>
        <w:t>zrealizowano</w:t>
      </w:r>
      <w:r w:rsidRPr="00211D94">
        <w:rPr>
          <w:rFonts w:cs="Arial"/>
          <w:szCs w:val="24"/>
        </w:rPr>
        <w:t xml:space="preserve"> wskaźniki programowe:</w:t>
      </w:r>
    </w:p>
    <w:p w14:paraId="2AD8085B" w14:textId="1052B847" w:rsidR="00BB2502" w:rsidRPr="00211D94" w:rsidRDefault="003B5EF9" w:rsidP="00F55865">
      <w:pPr>
        <w:pStyle w:val="Akapitzlist"/>
        <w:numPr>
          <w:ilvl w:val="0"/>
          <w:numId w:val="64"/>
        </w:numPr>
        <w:tabs>
          <w:tab w:val="left" w:pos="432"/>
        </w:tabs>
        <w:spacing w:before="120" w:after="120" w:line="276" w:lineRule="auto"/>
        <w:rPr>
          <w:rFonts w:cs="Arial"/>
          <w:szCs w:val="24"/>
        </w:rPr>
      </w:pPr>
      <w:r w:rsidRPr="00211D94">
        <w:rPr>
          <w:rFonts w:cs="Arial"/>
          <w:szCs w:val="24"/>
        </w:rPr>
        <w:t>„</w:t>
      </w:r>
      <w:r w:rsidR="00F71D9D" w:rsidRPr="00211D94">
        <w:rPr>
          <w:rFonts w:cs="Arial"/>
          <w:szCs w:val="24"/>
        </w:rPr>
        <w:t>Długość sieci kanalizacji sanitarnej</w:t>
      </w:r>
      <w:r w:rsidRPr="00211D94">
        <w:rPr>
          <w:rFonts w:cs="Arial"/>
          <w:szCs w:val="24"/>
        </w:rPr>
        <w:t>”</w:t>
      </w:r>
      <w:r w:rsidR="00BB2502" w:rsidRPr="00211D94">
        <w:rPr>
          <w:rFonts w:cs="Arial"/>
          <w:szCs w:val="24"/>
        </w:rPr>
        <w:t xml:space="preserve"> – 281,4 km (112,6% wartość docelowej);</w:t>
      </w:r>
    </w:p>
    <w:p w14:paraId="70624819" w14:textId="1A5CF716" w:rsidR="00BB2502" w:rsidRPr="00211D94" w:rsidRDefault="003B5EF9" w:rsidP="00F55865">
      <w:pPr>
        <w:pStyle w:val="Akapitzlist"/>
        <w:numPr>
          <w:ilvl w:val="0"/>
          <w:numId w:val="64"/>
        </w:numPr>
        <w:tabs>
          <w:tab w:val="left" w:pos="432"/>
        </w:tabs>
        <w:spacing w:before="120" w:after="120" w:line="276" w:lineRule="auto"/>
        <w:rPr>
          <w:rFonts w:cs="Arial"/>
          <w:szCs w:val="24"/>
        </w:rPr>
      </w:pPr>
      <w:r w:rsidRPr="00211D94">
        <w:rPr>
          <w:rFonts w:cs="Arial"/>
          <w:szCs w:val="24"/>
        </w:rPr>
        <w:t>„</w:t>
      </w:r>
      <w:r w:rsidR="00F71D9D" w:rsidRPr="00211D94">
        <w:rPr>
          <w:rFonts w:cs="Arial"/>
          <w:szCs w:val="24"/>
        </w:rPr>
        <w:t>Liczba dodatkowych osób korzystających z ulepszonego oczyszczania ścieków</w:t>
      </w:r>
      <w:r w:rsidRPr="00211D94">
        <w:rPr>
          <w:rFonts w:cs="Arial"/>
          <w:szCs w:val="24"/>
        </w:rPr>
        <w:t>”</w:t>
      </w:r>
      <w:r w:rsidR="00F71D9D" w:rsidRPr="00211D94">
        <w:rPr>
          <w:rFonts w:cs="Arial"/>
          <w:szCs w:val="24"/>
        </w:rPr>
        <w:t xml:space="preserve"> </w:t>
      </w:r>
      <w:r w:rsidR="00BB2502" w:rsidRPr="00211D94">
        <w:rPr>
          <w:rFonts w:cs="Arial"/>
          <w:szCs w:val="24"/>
        </w:rPr>
        <w:t>– 71 397 RML</w:t>
      </w:r>
      <w:r w:rsidR="00A43CA7" w:rsidRPr="00211D94">
        <w:rPr>
          <w:rFonts w:cs="Arial"/>
          <w:szCs w:val="24"/>
        </w:rPr>
        <w:t xml:space="preserve"> (r</w:t>
      </w:r>
      <w:r w:rsidR="00A43CA7" w:rsidRPr="00211D94">
        <w:rPr>
          <w:rFonts w:cs="Arial"/>
          <w:color w:val="040C28"/>
        </w:rPr>
        <w:t>ównoważna liczba mieszkańców)</w:t>
      </w:r>
      <w:r w:rsidR="00A43CA7" w:rsidRPr="00211D94">
        <w:rPr>
          <w:rFonts w:cs="Arial"/>
          <w:szCs w:val="24"/>
        </w:rPr>
        <w:t xml:space="preserve"> - </w:t>
      </w:r>
      <w:r w:rsidR="00BB2502" w:rsidRPr="00211D94">
        <w:rPr>
          <w:rFonts w:cs="Arial"/>
          <w:szCs w:val="24"/>
        </w:rPr>
        <w:t>142,8% wartość docelowej;</w:t>
      </w:r>
    </w:p>
    <w:p w14:paraId="55ED8BBD" w14:textId="331A8CDF" w:rsidR="00F71D9D" w:rsidRPr="00211D94" w:rsidRDefault="00BB2502" w:rsidP="00F55865">
      <w:pPr>
        <w:tabs>
          <w:tab w:val="left" w:pos="432"/>
        </w:tabs>
        <w:spacing w:before="120" w:after="120"/>
        <w:rPr>
          <w:rFonts w:cs="Arial"/>
          <w:szCs w:val="24"/>
        </w:rPr>
      </w:pPr>
      <w:r w:rsidRPr="00211D94">
        <w:rPr>
          <w:rFonts w:cs="Arial"/>
          <w:bCs/>
          <w:szCs w:val="24"/>
        </w:rPr>
        <w:t>W projektach koncentrowano się na działaniach istotnych z punktu widzenia dostosowania do wymogów wspólnotowych</w:t>
      </w:r>
      <w:r w:rsidRPr="00211D94">
        <w:rPr>
          <w:rFonts w:cs="Arial"/>
          <w:szCs w:val="24"/>
        </w:rPr>
        <w:t>, tj. na budowie sieci kanalizacyjnych na</w:t>
      </w:r>
      <w:r w:rsidR="00316322" w:rsidRPr="00211D94">
        <w:rPr>
          <w:rFonts w:cs="Arial"/>
          <w:szCs w:val="24"/>
        </w:rPr>
        <w:t xml:space="preserve"> obszarach uprawnionych do wsparcia </w:t>
      </w:r>
      <w:r w:rsidRPr="00211D94">
        <w:rPr>
          <w:rFonts w:cs="Arial"/>
          <w:szCs w:val="24"/>
        </w:rPr>
        <w:t xml:space="preserve">oraz budowie, rozbudowie i modernizacji oczyszczalni ścieków komunalnych w kierunku zapewnienia odpowiedniej przepustowości oraz jakości procesu oczyszczania ścieków komunalnych. </w:t>
      </w:r>
      <w:r w:rsidR="00F71D9D" w:rsidRPr="00211D94">
        <w:rPr>
          <w:rFonts w:cs="Arial"/>
          <w:szCs w:val="24"/>
        </w:rPr>
        <w:t>Projekty dofinansowane w RPO WP były komplementarnym uzupełnieniem działań dotyczących porządkowania gospodarki ściekowej finansowanych z innych źródeł</w:t>
      </w:r>
      <w:r w:rsidRPr="00211D94">
        <w:rPr>
          <w:rFonts w:cs="Arial"/>
          <w:szCs w:val="24"/>
        </w:rPr>
        <w:t>.</w:t>
      </w:r>
    </w:p>
    <w:p w14:paraId="0C7FE580" w14:textId="4CBF0AC3" w:rsidR="009C6693" w:rsidRPr="00211D94" w:rsidRDefault="007D0568" w:rsidP="00F55865">
      <w:pPr>
        <w:tabs>
          <w:tab w:val="left" w:pos="432"/>
        </w:tabs>
        <w:spacing w:before="120" w:after="120"/>
        <w:rPr>
          <w:rFonts w:cs="Arial"/>
          <w:szCs w:val="24"/>
        </w:rPr>
      </w:pPr>
      <w:r w:rsidRPr="00211D94">
        <w:rPr>
          <w:rFonts w:cs="Arial"/>
          <w:szCs w:val="24"/>
        </w:rPr>
        <w:t>W Działaniu 11.4</w:t>
      </w:r>
      <w:r w:rsidR="008935EE" w:rsidRPr="00211D94">
        <w:rPr>
          <w:rFonts w:cs="Arial"/>
          <w:szCs w:val="24"/>
        </w:rPr>
        <w:t>.</w:t>
      </w:r>
      <w:r w:rsidRPr="00211D94">
        <w:rPr>
          <w:rFonts w:cs="Arial"/>
          <w:szCs w:val="24"/>
        </w:rPr>
        <w:t xml:space="preserve"> </w:t>
      </w:r>
      <w:r w:rsidR="003B5EF9" w:rsidRPr="00211D94">
        <w:rPr>
          <w:rFonts w:cs="Arial"/>
          <w:szCs w:val="24"/>
        </w:rPr>
        <w:t>„</w:t>
      </w:r>
      <w:r w:rsidRPr="00211D94">
        <w:rPr>
          <w:rFonts w:cs="Arial"/>
          <w:szCs w:val="24"/>
        </w:rPr>
        <w:t>Ochrona różnorodności biologicznej</w:t>
      </w:r>
      <w:r w:rsidR="003B5EF9" w:rsidRPr="00211D94">
        <w:rPr>
          <w:rFonts w:cs="Arial"/>
          <w:szCs w:val="24"/>
        </w:rPr>
        <w:t>”</w:t>
      </w:r>
      <w:r w:rsidRPr="00211D94">
        <w:rPr>
          <w:rFonts w:cs="Arial"/>
          <w:szCs w:val="24"/>
        </w:rPr>
        <w:t xml:space="preserve"> (PI 6d) </w:t>
      </w:r>
      <w:r w:rsidR="009C6693" w:rsidRPr="00211D94">
        <w:rPr>
          <w:rFonts w:cs="Arial"/>
          <w:szCs w:val="24"/>
        </w:rPr>
        <w:t xml:space="preserve">wspierane były przedsięwzięcia ukierunkowane na zabezpieczenie zasobów i walorów przyrodniczych oraz krajobrazowych regionu. W działaniu tym przeprowadzono dwa konkursowe nabory wniosków, które cieszyły się </w:t>
      </w:r>
      <w:r w:rsidR="009C6693" w:rsidRPr="00211D94">
        <w:rPr>
          <w:rFonts w:cs="Arial"/>
          <w:bCs/>
          <w:szCs w:val="24"/>
        </w:rPr>
        <w:t>dużym zainteresowaniem, a o</w:t>
      </w:r>
      <w:r w:rsidR="009C6693" w:rsidRPr="00211D94">
        <w:rPr>
          <w:rFonts w:cs="Arial"/>
          <w:szCs w:val="24"/>
        </w:rPr>
        <w:t xml:space="preserve">statecznie dofinansowanie UE uzyskało </w:t>
      </w:r>
      <w:r w:rsidR="009C6693" w:rsidRPr="00211D94">
        <w:rPr>
          <w:rFonts w:cs="Arial"/>
          <w:bCs/>
          <w:szCs w:val="24"/>
        </w:rPr>
        <w:t xml:space="preserve">36 </w:t>
      </w:r>
      <w:r w:rsidR="001D4014" w:rsidRPr="00211D94">
        <w:rPr>
          <w:rFonts w:cs="Arial"/>
          <w:bCs/>
          <w:szCs w:val="24"/>
        </w:rPr>
        <w:t>projektów</w:t>
      </w:r>
      <w:r w:rsidR="009C6693" w:rsidRPr="00211D94">
        <w:rPr>
          <w:rFonts w:cs="Arial"/>
          <w:bCs/>
          <w:szCs w:val="24"/>
        </w:rPr>
        <w:t xml:space="preserve">, </w:t>
      </w:r>
      <w:r w:rsidR="009C6693" w:rsidRPr="00211D94">
        <w:rPr>
          <w:rFonts w:cs="Arial"/>
          <w:szCs w:val="24"/>
        </w:rPr>
        <w:t>w ramach których zrealizowano wskaźniki programowe:</w:t>
      </w:r>
    </w:p>
    <w:p w14:paraId="7EE0449D" w14:textId="324EFE4F" w:rsidR="009C6693" w:rsidRPr="00211D94" w:rsidRDefault="003B5EF9" w:rsidP="00F55865">
      <w:pPr>
        <w:pStyle w:val="Akapitzlist"/>
        <w:numPr>
          <w:ilvl w:val="0"/>
          <w:numId w:val="65"/>
        </w:numPr>
        <w:tabs>
          <w:tab w:val="left" w:pos="432"/>
        </w:tabs>
        <w:spacing w:before="120" w:after="120" w:line="276" w:lineRule="auto"/>
        <w:rPr>
          <w:rFonts w:cs="Arial"/>
          <w:szCs w:val="24"/>
        </w:rPr>
      </w:pPr>
      <w:r w:rsidRPr="00211D94">
        <w:rPr>
          <w:rFonts w:cs="Arial"/>
          <w:szCs w:val="24"/>
        </w:rPr>
        <w:t>„</w:t>
      </w:r>
      <w:r w:rsidR="009C6693" w:rsidRPr="00211D94">
        <w:rPr>
          <w:rFonts w:cs="Arial"/>
          <w:szCs w:val="24"/>
        </w:rPr>
        <w:t>Powierzchnia siedlisk wspieranych w celu uzyskania lepszego statusu ochrony</w:t>
      </w:r>
      <w:r w:rsidRPr="00211D94">
        <w:rPr>
          <w:rFonts w:cs="Arial"/>
          <w:szCs w:val="24"/>
        </w:rPr>
        <w:t>”</w:t>
      </w:r>
      <w:r w:rsidR="009C6693" w:rsidRPr="00211D94">
        <w:rPr>
          <w:rFonts w:cs="Arial"/>
          <w:szCs w:val="24"/>
        </w:rPr>
        <w:t xml:space="preserve"> – 184 343,4 ha (128% wartości docelowej); </w:t>
      </w:r>
    </w:p>
    <w:p w14:paraId="7CB53C0F" w14:textId="4C53C69E" w:rsidR="009C6693" w:rsidRPr="00211D94" w:rsidRDefault="003B5EF9" w:rsidP="00F55865">
      <w:pPr>
        <w:pStyle w:val="Akapitzlist"/>
        <w:numPr>
          <w:ilvl w:val="0"/>
          <w:numId w:val="65"/>
        </w:numPr>
        <w:tabs>
          <w:tab w:val="left" w:pos="432"/>
        </w:tabs>
        <w:spacing w:before="120" w:after="120" w:line="276" w:lineRule="auto"/>
        <w:rPr>
          <w:rFonts w:cs="Arial"/>
          <w:szCs w:val="24"/>
        </w:rPr>
      </w:pPr>
      <w:r w:rsidRPr="00211D94">
        <w:rPr>
          <w:rFonts w:cs="Arial"/>
          <w:szCs w:val="24"/>
        </w:rPr>
        <w:t>„</w:t>
      </w:r>
      <w:r w:rsidR="009C6693" w:rsidRPr="00211D94">
        <w:rPr>
          <w:rFonts w:cs="Arial"/>
          <w:szCs w:val="24"/>
        </w:rPr>
        <w:t>Długość szlaków turystycznych</w:t>
      </w:r>
      <w:r w:rsidRPr="00211D94">
        <w:rPr>
          <w:rFonts w:cs="Arial"/>
          <w:szCs w:val="24"/>
        </w:rPr>
        <w:t xml:space="preserve">” </w:t>
      </w:r>
      <w:r w:rsidR="009C6693" w:rsidRPr="00211D94">
        <w:rPr>
          <w:rFonts w:cs="Arial"/>
          <w:szCs w:val="24"/>
        </w:rPr>
        <w:t>– 200,1 km (200,1% wartości docelowej);</w:t>
      </w:r>
    </w:p>
    <w:p w14:paraId="6F0C0024" w14:textId="76E5D49E" w:rsidR="007D0568" w:rsidRPr="00211D94" w:rsidRDefault="007D0568" w:rsidP="00F55865">
      <w:pPr>
        <w:tabs>
          <w:tab w:val="left" w:pos="432"/>
        </w:tabs>
        <w:spacing w:before="120" w:after="120"/>
        <w:rPr>
          <w:rFonts w:cs="Arial"/>
          <w:szCs w:val="24"/>
        </w:rPr>
      </w:pPr>
      <w:r w:rsidRPr="00211D94">
        <w:rPr>
          <w:rFonts w:cs="Arial"/>
          <w:szCs w:val="24"/>
        </w:rPr>
        <w:t>Dominujące typy projektów dla przedsięwzięć realizowanych w ramach Działania 11.4 to finansowanie ochrony i restytucji różnorodności gatunkowej i siedliskowej, w tym czynnej ochrony gatunkowej, monitoringu gatunków i siedlisk przyrodniczych, rewitalizacji siedlisk, przywracanie ciągłości korytarzy ekologicznych oraz przedsięwzięcia dotyczące edukacji ekologicznej oraz zwiększania świadomości na rzecz zrównoważonego rozwoju i przeciwdziałania zmianom klimatu.</w:t>
      </w:r>
    </w:p>
    <w:p w14:paraId="74641B4C" w14:textId="3F7836B5" w:rsidR="00FB3631" w:rsidRPr="00211D94" w:rsidRDefault="00FB3631" w:rsidP="00F55865">
      <w:pPr>
        <w:autoSpaceDE w:val="0"/>
        <w:autoSpaceDN w:val="0"/>
        <w:adjustRightInd w:val="0"/>
        <w:spacing w:before="120" w:after="120"/>
        <w:rPr>
          <w:rFonts w:cs="Arial"/>
          <w:szCs w:val="24"/>
          <w:lang w:eastAsia="pl-PL"/>
        </w:rPr>
      </w:pPr>
      <w:r w:rsidRPr="00211D94">
        <w:rPr>
          <w:rFonts w:cs="Arial"/>
          <w:szCs w:val="24"/>
          <w:lang w:eastAsia="pl-PL"/>
        </w:rPr>
        <w:t>Projekty realizowane w ramach tej interwencji w znacznym stopniu przyczyniły się do ograniczenia antropopresji na obszarach cennych przyrodniczo w województwie pomorskim. Choć nie pozwoliły na zaspokojenie wszystkich potrzeb w tym zakresie, skutecznie odpowiedziały na kluczowe wyzwania związane z ochroną ekosystemów na terenach o największej intensywności ruchu turystycznego.</w:t>
      </w:r>
    </w:p>
    <w:p w14:paraId="2FAAEE29" w14:textId="3C1B0A3A" w:rsidR="00DE3C46" w:rsidRPr="00211D94" w:rsidRDefault="00DE3C46" w:rsidP="00F55865">
      <w:pPr>
        <w:autoSpaceDE w:val="0"/>
        <w:autoSpaceDN w:val="0"/>
        <w:adjustRightInd w:val="0"/>
        <w:spacing w:before="120" w:after="120"/>
        <w:rPr>
          <w:rFonts w:cs="Arial"/>
          <w:szCs w:val="24"/>
          <w:lang w:eastAsia="pl-PL"/>
        </w:rPr>
      </w:pPr>
      <w:r w:rsidRPr="00211D94">
        <w:rPr>
          <w:rFonts w:cs="Arial"/>
          <w:bCs/>
          <w:szCs w:val="24"/>
        </w:rPr>
        <w:t>Wsparcie udzielone w obszarze ochrony różnorodności biologicznej i edukacji ekologicznej m</w:t>
      </w:r>
      <w:r w:rsidR="00701434" w:rsidRPr="00211D94">
        <w:rPr>
          <w:rFonts w:cs="Arial"/>
          <w:bCs/>
          <w:szCs w:val="24"/>
        </w:rPr>
        <w:t>iały</w:t>
      </w:r>
      <w:r w:rsidRPr="00211D94">
        <w:rPr>
          <w:rFonts w:cs="Arial"/>
          <w:bCs/>
          <w:szCs w:val="24"/>
        </w:rPr>
        <w:t xml:space="preserve"> charakter zróżnicowany i zrównoważony </w:t>
      </w:r>
      <w:r w:rsidRPr="00211D94">
        <w:rPr>
          <w:rFonts w:cs="Arial"/>
          <w:szCs w:val="24"/>
        </w:rPr>
        <w:t>– w RPO WP w grupie dofinansowanych projektów znalazły się przedsięwzięcia z wszystkich wymienionych grup, które są kluczowe z punktu widzenia skutecznej ochrony zasobów przyrodniczych w regionie.</w:t>
      </w:r>
    </w:p>
    <w:p w14:paraId="72811D13" w14:textId="713F0362" w:rsidR="00701434" w:rsidRPr="00211D94" w:rsidRDefault="001D4014" w:rsidP="00701434">
      <w:pPr>
        <w:spacing w:before="120" w:after="120"/>
        <w:rPr>
          <w:rFonts w:cs="Arial"/>
          <w:szCs w:val="24"/>
        </w:rPr>
      </w:pPr>
      <w:r w:rsidRPr="00211D94">
        <w:rPr>
          <w:rFonts w:cs="Arial"/>
          <w:szCs w:val="24"/>
        </w:rPr>
        <w:t xml:space="preserve"> </w:t>
      </w:r>
      <w:r w:rsidR="00701434" w:rsidRPr="00211D94">
        <w:rPr>
          <w:rFonts w:cs="Arial"/>
          <w:szCs w:val="24"/>
        </w:rPr>
        <w:t xml:space="preserve">W kontekście </w:t>
      </w:r>
      <w:r w:rsidR="00701434" w:rsidRPr="00211D94">
        <w:rPr>
          <w:rFonts w:cs="Arial"/>
          <w:b/>
          <w:szCs w:val="24"/>
        </w:rPr>
        <w:t>wskaźników rezultatu</w:t>
      </w:r>
      <w:r w:rsidR="00701434" w:rsidRPr="00211D94">
        <w:rPr>
          <w:rFonts w:cs="Arial"/>
          <w:szCs w:val="24"/>
        </w:rPr>
        <w:t xml:space="preserve"> dla OP11 RPO WP Instytucja Zarządzająca dysponuje danymi za rok 2023. Osiągnięte wartości przedstawiają się następująco:</w:t>
      </w:r>
    </w:p>
    <w:p w14:paraId="5E454D59" w14:textId="77777777" w:rsidR="00701434" w:rsidRPr="00211D94" w:rsidRDefault="00701434" w:rsidP="00701434">
      <w:pPr>
        <w:pStyle w:val="Akapitzlist"/>
        <w:numPr>
          <w:ilvl w:val="0"/>
          <w:numId w:val="52"/>
        </w:numPr>
        <w:spacing w:before="120" w:after="120" w:line="276" w:lineRule="auto"/>
        <w:rPr>
          <w:rFonts w:cs="Arial"/>
          <w:szCs w:val="24"/>
        </w:rPr>
      </w:pPr>
      <w:r w:rsidRPr="00211D94">
        <w:rPr>
          <w:rFonts w:cs="Arial"/>
          <w:szCs w:val="24"/>
        </w:rPr>
        <w:t>Odsetek ludności korzystającej z oczyszczalni ścieków – 83,6%, przy wartości docelowej 86%;</w:t>
      </w:r>
    </w:p>
    <w:p w14:paraId="23B53B75" w14:textId="383314A4" w:rsidR="00701434" w:rsidRPr="00211D94" w:rsidRDefault="00701434" w:rsidP="00701434">
      <w:pPr>
        <w:pStyle w:val="Akapitzlist"/>
        <w:numPr>
          <w:ilvl w:val="0"/>
          <w:numId w:val="52"/>
        </w:numPr>
        <w:spacing w:before="120" w:after="120" w:line="276" w:lineRule="auto"/>
        <w:rPr>
          <w:rFonts w:cs="Arial"/>
          <w:szCs w:val="24"/>
        </w:rPr>
      </w:pPr>
      <w:r w:rsidRPr="00211D94">
        <w:rPr>
          <w:rFonts w:cs="Arial"/>
          <w:szCs w:val="24"/>
        </w:rPr>
        <w:t>Powierzchnia o szczególnych walorach przyrodniczych prawnie chroniona – 605 276,1 ha, przy wartości docelowej 599 000 ha;</w:t>
      </w:r>
    </w:p>
    <w:p w14:paraId="7AB6AF19" w14:textId="77777777" w:rsidR="00701434" w:rsidRPr="00211D94" w:rsidRDefault="00701434" w:rsidP="00701434">
      <w:pPr>
        <w:pStyle w:val="Akapitzlist"/>
        <w:numPr>
          <w:ilvl w:val="0"/>
          <w:numId w:val="52"/>
        </w:numPr>
        <w:spacing w:before="120" w:after="120" w:line="276" w:lineRule="auto"/>
        <w:rPr>
          <w:rFonts w:cs="Arial"/>
          <w:szCs w:val="24"/>
        </w:rPr>
      </w:pPr>
      <w:r w:rsidRPr="00211D94">
        <w:rPr>
          <w:rFonts w:cs="Arial"/>
          <w:szCs w:val="24"/>
        </w:rPr>
        <w:t>Udział odpadów komunalnych niepodlegających składowaniu w ogólnej masie odpadów komunalnych wytworzonych – 58,6%, przy wartości docelowej 60%;</w:t>
      </w:r>
    </w:p>
    <w:p w14:paraId="4D6849BE" w14:textId="713586BD" w:rsidR="00701434" w:rsidRPr="00211D94" w:rsidRDefault="00701434" w:rsidP="00701434">
      <w:pPr>
        <w:pStyle w:val="Akapitzlist"/>
        <w:numPr>
          <w:ilvl w:val="0"/>
          <w:numId w:val="52"/>
        </w:numPr>
        <w:spacing w:before="120" w:after="120" w:line="276" w:lineRule="auto"/>
        <w:rPr>
          <w:rFonts w:cs="Arial"/>
          <w:szCs w:val="24"/>
        </w:rPr>
      </w:pPr>
      <w:r w:rsidRPr="00211D94">
        <w:rPr>
          <w:rFonts w:cs="Arial"/>
          <w:szCs w:val="24"/>
        </w:rPr>
        <w:t xml:space="preserve">Pojemność obiektów małej retencji wodnej </w:t>
      </w:r>
      <w:r w:rsidR="00D114C5" w:rsidRPr="00211D94">
        <w:rPr>
          <w:rFonts w:cs="Arial"/>
          <w:szCs w:val="24"/>
        </w:rPr>
        <w:t xml:space="preserve">(2012=100) </w:t>
      </w:r>
      <w:r w:rsidRPr="00211D94">
        <w:rPr>
          <w:rFonts w:cs="Arial"/>
          <w:szCs w:val="24"/>
        </w:rPr>
        <w:t>– 104,25%, przy wartości docelowej 108%.</w:t>
      </w:r>
    </w:p>
    <w:p w14:paraId="34E1DB03" w14:textId="0A8E042C" w:rsidR="00701434" w:rsidRPr="00211D94" w:rsidRDefault="00F9724B" w:rsidP="00701434">
      <w:pPr>
        <w:spacing w:before="120" w:after="120"/>
        <w:rPr>
          <w:rFonts w:cs="Arial"/>
          <w:szCs w:val="24"/>
        </w:rPr>
      </w:pPr>
      <w:r w:rsidRPr="00211D94">
        <w:rPr>
          <w:rFonts w:cs="Arial"/>
          <w:szCs w:val="24"/>
        </w:rPr>
        <w:t>OP</w:t>
      </w:r>
      <w:r w:rsidR="00701434" w:rsidRPr="00211D94">
        <w:rPr>
          <w:rFonts w:cs="Arial"/>
          <w:szCs w:val="24"/>
        </w:rPr>
        <w:t>11 osiągnęła w większości wskaźników wartości bliskie lub nieco przekraczające cele, co świadczy o stabilnym rozwoju infrastruktury ochrony środowiska i gospodarce zasobami naturalnymi w regionie.</w:t>
      </w:r>
    </w:p>
    <w:p w14:paraId="3710BAD1" w14:textId="77777777" w:rsidR="00FB3631" w:rsidRPr="00211D94" w:rsidRDefault="00FB3631" w:rsidP="00701434">
      <w:pPr>
        <w:spacing w:before="120" w:after="120"/>
        <w:rPr>
          <w:rFonts w:cs="Arial"/>
          <w:szCs w:val="24"/>
        </w:rPr>
      </w:pPr>
      <w:r w:rsidRPr="00211D94">
        <w:rPr>
          <w:rFonts w:cs="Arial"/>
          <w:szCs w:val="24"/>
        </w:rPr>
        <w:t>Przekroczenie wartości docelowej wskaźnika dotyczącego powierzchni obszarów o szczególnych walorach przyrodniczych objętych ochroną potwierdza skuteczność działań na rzecz ochrony środowiska oraz zachowania bioróżnorodności w województwie pomorskim.</w:t>
      </w:r>
    </w:p>
    <w:p w14:paraId="0DF591CE" w14:textId="6D0D6CB8" w:rsidR="00701434" w:rsidRPr="00211D94" w:rsidRDefault="00701434" w:rsidP="00701434">
      <w:pPr>
        <w:spacing w:before="120" w:after="120"/>
        <w:rPr>
          <w:rFonts w:cs="Arial"/>
          <w:szCs w:val="24"/>
        </w:rPr>
      </w:pPr>
      <w:r w:rsidRPr="00211D94">
        <w:rPr>
          <w:rFonts w:cs="Arial"/>
          <w:szCs w:val="24"/>
        </w:rPr>
        <w:t>Wskaźniki dotyczące oczyszczalni ścieków, odpadów komunalnych oraz pojemności obiektów małej retencji pozostają nieznacznie poniżej wartości docelowych, co wskazuje na potrzebę dalszych działań inwestycyjnych i systemowych w zakresie gospodarki wodnej i odpadami.</w:t>
      </w:r>
    </w:p>
    <w:p w14:paraId="20E7436F" w14:textId="2E676FB6" w:rsidR="00701434" w:rsidRPr="00211D94" w:rsidRDefault="00701434" w:rsidP="00701434">
      <w:pPr>
        <w:spacing w:before="120" w:after="120"/>
        <w:rPr>
          <w:rFonts w:cs="Arial"/>
          <w:szCs w:val="24"/>
        </w:rPr>
      </w:pPr>
      <w:r w:rsidRPr="00211D94">
        <w:rPr>
          <w:rFonts w:cs="Arial"/>
          <w:szCs w:val="24"/>
        </w:rPr>
        <w:t>Uzyskane wyniki są istotne pomimo trudnych uwarunkowań zewnętrznych, takich jak pandemia COVID-19 i agresja Rosji na Ukrainę, które mogły wpływać na realizację inwestycji środowiskowych i logistykę projektów infrastrukturalnych.</w:t>
      </w:r>
    </w:p>
    <w:p w14:paraId="7EBAEA15" w14:textId="2A93FBA7" w:rsidR="00FB3631" w:rsidRPr="00211D94" w:rsidRDefault="00FB3631" w:rsidP="00F55865">
      <w:pPr>
        <w:spacing w:before="120" w:after="120"/>
        <w:rPr>
          <w:rFonts w:cs="Arial"/>
          <w:szCs w:val="24"/>
        </w:rPr>
      </w:pPr>
      <w:r w:rsidRPr="00211D94">
        <w:rPr>
          <w:rFonts w:cs="Arial"/>
          <w:szCs w:val="24"/>
        </w:rPr>
        <w:t>Ogólny poziom realizacji celów dla OP11 można ocenić jako dobry. W ramach działań prowadzonych w regionie skutecznie chroniono obszary przyrodnicze, utrzymywano wysoki poziom recyklingu oraz rozwijano infrastrukturę wodną. Nadal jednak konieczna jest kontynuacja działań w celu pełnego osiągnięcia wskaźników dotyczących oczyszczalni ścieków i retencji.</w:t>
      </w:r>
    </w:p>
    <w:p w14:paraId="392518CF" w14:textId="77777777" w:rsidR="007D0568" w:rsidRPr="00211D94" w:rsidRDefault="007D0568" w:rsidP="00F55865">
      <w:pPr>
        <w:pStyle w:val="Nagwek2"/>
        <w:spacing w:before="120" w:after="120"/>
        <w:rPr>
          <w:rFonts w:cs="Arial"/>
          <w:color w:val="FFFFFF" w:themeColor="background1"/>
          <w:sz w:val="24"/>
          <w:szCs w:val="24"/>
        </w:rPr>
      </w:pPr>
      <w:bookmarkStart w:id="169" w:name="_Toc9418249"/>
      <w:bookmarkStart w:id="170" w:name="_Toc214025292"/>
      <w:r w:rsidRPr="00211D94">
        <w:rPr>
          <w:rFonts w:eastAsia="Calibri" w:cs="Arial"/>
          <w:color w:val="FFFFFF" w:themeColor="background1"/>
          <w:sz w:val="24"/>
          <w:szCs w:val="24"/>
        </w:rPr>
        <w:t>OP12. POMOC TECHNICZNA</w:t>
      </w:r>
      <w:bookmarkEnd w:id="148"/>
      <w:bookmarkEnd w:id="149"/>
      <w:bookmarkEnd w:id="150"/>
      <w:bookmarkEnd w:id="151"/>
      <w:bookmarkEnd w:id="169"/>
      <w:bookmarkEnd w:id="170"/>
    </w:p>
    <w:tbl>
      <w:tblPr>
        <w:tblW w:w="0" w:type="auto"/>
        <w:tblLook w:val="04A0" w:firstRow="1" w:lastRow="0" w:firstColumn="1" w:lastColumn="0" w:noHBand="0" w:noVBand="1"/>
      </w:tblPr>
      <w:tblGrid>
        <w:gridCol w:w="1604"/>
        <w:gridCol w:w="7468"/>
      </w:tblGrid>
      <w:tr w:rsidR="00285DF5" w:rsidRPr="00211D94" w14:paraId="1B21879D" w14:textId="77777777" w:rsidTr="00285DF5">
        <w:tc>
          <w:tcPr>
            <w:tcW w:w="1604" w:type="dxa"/>
            <w:shd w:val="clear" w:color="auto" w:fill="auto"/>
          </w:tcPr>
          <w:p w14:paraId="6BA03008" w14:textId="3A1DAD44" w:rsidR="00285DF5" w:rsidRPr="00211D94" w:rsidRDefault="00285DF5" w:rsidP="00493384">
            <w:pPr>
              <w:spacing w:before="120" w:after="120"/>
              <w:rPr>
                <w:rFonts w:cs="Arial"/>
                <w:b/>
                <w:color w:val="538135"/>
                <w:szCs w:val="24"/>
              </w:rPr>
            </w:pPr>
            <w:r w:rsidRPr="00211D94">
              <w:rPr>
                <w:rFonts w:cs="Arial"/>
                <w:noProof/>
                <w:szCs w:val="24"/>
              </w:rPr>
              <w:drawing>
                <wp:anchor distT="0" distB="0" distL="114300" distR="114300" simplePos="0" relativeHeight="251662336" behindDoc="0" locked="0" layoutInCell="1" allowOverlap="1" wp14:anchorId="1F8CEA10" wp14:editId="458576E9">
                  <wp:simplePos x="0" y="0"/>
                  <wp:positionH relativeFrom="column">
                    <wp:posOffset>-8792</wp:posOffset>
                  </wp:positionH>
                  <wp:positionV relativeFrom="paragraph">
                    <wp:posOffset>101600</wp:posOffset>
                  </wp:positionV>
                  <wp:extent cx="881380" cy="864870"/>
                  <wp:effectExtent l="0" t="0" r="0" b="0"/>
                  <wp:wrapSquare wrapText="bothSides"/>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1380" cy="864870"/>
                          </a:xfrm>
                          <a:prstGeom prst="rect">
                            <a:avLst/>
                          </a:prstGeom>
                        </pic:spPr>
                      </pic:pic>
                    </a:graphicData>
                  </a:graphic>
                  <wp14:sizeRelH relativeFrom="page">
                    <wp14:pctWidth>0</wp14:pctWidth>
                  </wp14:sizeRelH>
                  <wp14:sizeRelV relativeFrom="page">
                    <wp14:pctHeight>0</wp14:pctHeight>
                  </wp14:sizeRelV>
                </wp:anchor>
              </w:drawing>
            </w:r>
          </w:p>
        </w:tc>
        <w:tc>
          <w:tcPr>
            <w:tcW w:w="7468" w:type="dxa"/>
            <w:shd w:val="clear" w:color="auto" w:fill="auto"/>
          </w:tcPr>
          <w:p w14:paraId="7B5F8941" w14:textId="0E2C7135" w:rsidR="00285DF5" w:rsidRPr="00211D94" w:rsidRDefault="00285DF5" w:rsidP="00493384">
            <w:pPr>
              <w:spacing w:before="120" w:after="120"/>
              <w:rPr>
                <w:rFonts w:cs="Arial"/>
                <w:b/>
                <w:szCs w:val="24"/>
              </w:rPr>
            </w:pPr>
            <w:r w:rsidRPr="00211D94">
              <w:rPr>
                <w:rFonts w:cs="Arial"/>
                <w:szCs w:val="24"/>
              </w:rPr>
              <w:t>W ramach OP12 realizowane były działania ukierunkowane na: zapewnienie niezbędnych zasobów ludzkich oraz warunków gwarantujących sprawne działanie instytucji zaangażowanych we wdrażanie RPO WP; zapewnienie sprawnego i efektywnego systemu zarządzania RPO WP; zwiększenie kompetencji beneficjentów w aplikowaniu o środki RPO WP.</w:t>
            </w:r>
          </w:p>
        </w:tc>
      </w:tr>
    </w:tbl>
    <w:p w14:paraId="1792C6D8" w14:textId="5EF0EC9F"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68A53433" w14:textId="4FDBFC2D" w:rsidR="00214BA9" w:rsidRPr="00211D94" w:rsidRDefault="00214BA9" w:rsidP="00F55865">
      <w:pPr>
        <w:autoSpaceDE w:val="0"/>
        <w:autoSpaceDN w:val="0"/>
        <w:adjustRightInd w:val="0"/>
        <w:spacing w:before="120" w:after="120"/>
        <w:rPr>
          <w:rFonts w:cs="Arial"/>
          <w:szCs w:val="24"/>
          <w:lang w:eastAsia="pl-PL"/>
        </w:rPr>
      </w:pPr>
      <w:r w:rsidRPr="00211D94">
        <w:rPr>
          <w:rFonts w:cs="Arial"/>
          <w:szCs w:val="24"/>
          <w:lang w:eastAsia="pl-PL"/>
        </w:rPr>
        <w:t>W ramach OP12</w:t>
      </w:r>
      <w:r w:rsidR="002504FF" w:rsidRPr="00211D94">
        <w:rPr>
          <w:rFonts w:cs="Arial"/>
          <w:szCs w:val="24"/>
          <w:lang w:eastAsia="pl-PL"/>
        </w:rPr>
        <w:t>.</w:t>
      </w:r>
      <w:r w:rsidRPr="00211D94">
        <w:rPr>
          <w:rFonts w:cs="Arial"/>
          <w:i/>
          <w:szCs w:val="24"/>
          <w:lang w:eastAsia="pl-PL"/>
        </w:rPr>
        <w:t xml:space="preserve"> </w:t>
      </w:r>
      <w:r w:rsidR="003B5EF9" w:rsidRPr="00211D94">
        <w:rPr>
          <w:rFonts w:cs="Arial"/>
          <w:i/>
          <w:szCs w:val="24"/>
          <w:lang w:eastAsia="pl-PL"/>
        </w:rPr>
        <w:t>„</w:t>
      </w:r>
      <w:r w:rsidRPr="00211D94">
        <w:rPr>
          <w:rFonts w:cs="Arial"/>
          <w:i/>
          <w:szCs w:val="24"/>
          <w:lang w:eastAsia="pl-PL"/>
        </w:rPr>
        <w:t>Pomoc Techniczna</w:t>
      </w:r>
      <w:r w:rsidR="003B5EF9" w:rsidRPr="00211D94">
        <w:rPr>
          <w:rFonts w:cs="Arial"/>
          <w:i/>
          <w:szCs w:val="24"/>
          <w:lang w:eastAsia="pl-PL"/>
        </w:rPr>
        <w:t>”</w:t>
      </w:r>
      <w:r w:rsidRPr="00211D94">
        <w:rPr>
          <w:rFonts w:cs="Arial"/>
          <w:szCs w:val="24"/>
          <w:lang w:eastAsia="pl-PL"/>
        </w:rPr>
        <w:t xml:space="preserve"> zawarto </w:t>
      </w:r>
      <w:r w:rsidRPr="00211D94">
        <w:rPr>
          <w:rFonts w:cs="Arial"/>
          <w:b/>
          <w:szCs w:val="24"/>
          <w:lang w:eastAsia="pl-PL"/>
        </w:rPr>
        <w:t xml:space="preserve">13 </w:t>
      </w:r>
      <w:r w:rsidRPr="00211D94">
        <w:rPr>
          <w:rFonts w:cs="Arial"/>
          <w:szCs w:val="24"/>
          <w:lang w:eastAsia="pl-PL"/>
        </w:rPr>
        <w:t xml:space="preserve">umów na kwotę </w:t>
      </w:r>
      <w:r w:rsidRPr="00211D94">
        <w:rPr>
          <w:rFonts w:cs="Arial"/>
          <w:b/>
          <w:szCs w:val="24"/>
          <w:lang w:eastAsia="pl-PL"/>
        </w:rPr>
        <w:t>90 278 950 EUR</w:t>
      </w:r>
      <w:r w:rsidRPr="00211D94">
        <w:rPr>
          <w:rFonts w:cs="Arial"/>
          <w:szCs w:val="24"/>
          <w:lang w:eastAsia="pl-PL"/>
        </w:rPr>
        <w:t xml:space="preserve">, </w:t>
      </w:r>
      <w:r w:rsidRPr="00211D94">
        <w:rPr>
          <w:rFonts w:cs="Arial"/>
          <w:szCs w:val="24"/>
          <w:lang w:eastAsia="pl-PL"/>
        </w:rPr>
        <w:br/>
        <w:t xml:space="preserve">w tym dofinansowanie UE </w:t>
      </w:r>
      <w:r w:rsidRPr="00211D94">
        <w:rPr>
          <w:rFonts w:cs="Arial"/>
          <w:b/>
          <w:szCs w:val="24"/>
          <w:lang w:eastAsia="pl-PL"/>
        </w:rPr>
        <w:t>76 737 107 EUR</w:t>
      </w:r>
      <w:r w:rsidRPr="00211D94">
        <w:rPr>
          <w:rFonts w:cs="Arial"/>
          <w:szCs w:val="24"/>
          <w:lang w:eastAsia="pl-PL"/>
        </w:rPr>
        <w:t xml:space="preserve">. Tym samym kontraktacja w tej Osi została osiągnięta na </w:t>
      </w:r>
      <w:r w:rsidR="005D1187" w:rsidRPr="00211D94">
        <w:rPr>
          <w:rFonts w:cs="Arial"/>
          <w:b/>
          <w:szCs w:val="24"/>
          <w:lang w:eastAsia="pl-PL"/>
        </w:rPr>
        <w:t>117,7</w:t>
      </w:r>
      <w:r w:rsidRPr="00211D94">
        <w:rPr>
          <w:rFonts w:cs="Arial"/>
          <w:b/>
          <w:szCs w:val="24"/>
          <w:lang w:eastAsia="pl-PL"/>
        </w:rPr>
        <w:t>%</w:t>
      </w:r>
      <w:r w:rsidRPr="00211D94">
        <w:rPr>
          <w:rFonts w:cs="Arial"/>
          <w:szCs w:val="24"/>
          <w:lang w:eastAsia="pl-PL"/>
        </w:rPr>
        <w:t xml:space="preserve"> alokacji przeznaczonej na realizację OP12.</w:t>
      </w:r>
    </w:p>
    <w:p w14:paraId="6B09AE6B" w14:textId="5DA85730" w:rsidR="00214BA9" w:rsidRPr="00211D94" w:rsidRDefault="00214BA9" w:rsidP="00F55865">
      <w:pPr>
        <w:autoSpaceDE w:val="0"/>
        <w:autoSpaceDN w:val="0"/>
        <w:adjustRightInd w:val="0"/>
        <w:spacing w:before="120" w:after="120"/>
        <w:rPr>
          <w:rFonts w:cs="Arial"/>
          <w:b/>
          <w:szCs w:val="24"/>
          <w:lang w:eastAsia="pl-PL"/>
        </w:rPr>
      </w:pPr>
      <w:r w:rsidRPr="00211D94">
        <w:rPr>
          <w:rFonts w:cs="Arial"/>
          <w:szCs w:val="24"/>
          <w:lang w:eastAsia="pl-PL"/>
        </w:rPr>
        <w:t>W ramach złożonych przez beneficjentów wniosków o płatność uznano za kwalifikowalne</w:t>
      </w:r>
      <w:r w:rsidRPr="00211D94" w:rsidDel="00B01744">
        <w:rPr>
          <w:rFonts w:cs="Arial"/>
          <w:szCs w:val="24"/>
          <w:lang w:eastAsia="pl-PL"/>
        </w:rPr>
        <w:t xml:space="preserve"> </w:t>
      </w:r>
      <w:r w:rsidRPr="00211D94">
        <w:rPr>
          <w:rFonts w:cs="Arial"/>
          <w:szCs w:val="24"/>
          <w:lang w:eastAsia="pl-PL"/>
        </w:rPr>
        <w:t xml:space="preserve">wydatki na kwotę </w:t>
      </w:r>
      <w:r w:rsidRPr="00211D94">
        <w:rPr>
          <w:rFonts w:cs="Arial"/>
          <w:b/>
          <w:szCs w:val="24"/>
          <w:lang w:eastAsia="pl-PL"/>
        </w:rPr>
        <w:t>77 828 573 EUR</w:t>
      </w:r>
      <w:r w:rsidRPr="00211D94">
        <w:rPr>
          <w:rFonts w:cs="Arial"/>
          <w:szCs w:val="24"/>
          <w:lang w:eastAsia="pl-PL"/>
        </w:rPr>
        <w:t xml:space="preserve">, w tym </w:t>
      </w:r>
      <w:r w:rsidRPr="00211D94">
        <w:rPr>
          <w:rFonts w:cs="Arial"/>
          <w:b/>
          <w:szCs w:val="24"/>
          <w:lang w:eastAsia="pl-PL"/>
        </w:rPr>
        <w:t>66 154 287 EUR</w:t>
      </w:r>
      <w:r w:rsidRPr="00211D94">
        <w:rPr>
          <w:rFonts w:cs="Arial"/>
          <w:szCs w:val="24"/>
          <w:lang w:eastAsia="pl-PL"/>
        </w:rPr>
        <w:t xml:space="preserve"> dofinansowania UE, co stanowi </w:t>
      </w:r>
      <w:r w:rsidR="005D1187" w:rsidRPr="00211D94">
        <w:rPr>
          <w:rFonts w:cs="Arial"/>
          <w:b/>
          <w:szCs w:val="24"/>
          <w:lang w:eastAsia="pl-PL"/>
        </w:rPr>
        <w:t>101,5</w:t>
      </w:r>
      <w:r w:rsidRPr="00211D94">
        <w:rPr>
          <w:rFonts w:cs="Arial"/>
          <w:b/>
          <w:szCs w:val="24"/>
          <w:lang w:eastAsia="pl-PL"/>
        </w:rPr>
        <w:t>%</w:t>
      </w:r>
      <w:r w:rsidRPr="00211D94">
        <w:rPr>
          <w:rFonts w:cs="Arial"/>
          <w:szCs w:val="24"/>
          <w:lang w:eastAsia="pl-PL"/>
        </w:rPr>
        <w:t xml:space="preserve"> przeznaczonej na OP12 alokacji.</w:t>
      </w:r>
      <w:r w:rsidRPr="00211D94">
        <w:rPr>
          <w:rFonts w:cs="Arial"/>
          <w:b/>
          <w:szCs w:val="24"/>
          <w:lang w:eastAsia="pl-PL"/>
        </w:rPr>
        <w:t xml:space="preserve"> </w:t>
      </w:r>
    </w:p>
    <w:p w14:paraId="6D753A47" w14:textId="77777777" w:rsidR="00214BA9" w:rsidRPr="00211D94" w:rsidRDefault="00214BA9" w:rsidP="00F55865">
      <w:pPr>
        <w:autoSpaceDE w:val="0"/>
        <w:autoSpaceDN w:val="0"/>
        <w:adjustRightInd w:val="0"/>
        <w:spacing w:before="120" w:after="120"/>
        <w:rPr>
          <w:rFonts w:cs="Arial"/>
          <w:szCs w:val="24"/>
          <w:lang w:eastAsia="pl-PL"/>
        </w:rPr>
      </w:pPr>
      <w:r w:rsidRPr="00211D94">
        <w:rPr>
          <w:rFonts w:cs="Arial"/>
          <w:szCs w:val="24"/>
          <w:lang w:eastAsia="pl-PL"/>
        </w:rPr>
        <w:t>Zgodnie z Tabelą 2C zostały osiągnięte wskaźniki rezultatu specyficzne dla Programu tj.:</w:t>
      </w:r>
    </w:p>
    <w:p w14:paraId="454995ED" w14:textId="61F62F9D" w:rsidR="00214BA9" w:rsidRPr="00211D94" w:rsidRDefault="003B5EF9" w:rsidP="00F55865">
      <w:pPr>
        <w:numPr>
          <w:ilvl w:val="0"/>
          <w:numId w:val="4"/>
        </w:numPr>
        <w:autoSpaceDE w:val="0"/>
        <w:autoSpaceDN w:val="0"/>
        <w:adjustRightInd w:val="0"/>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Średni czas zatwierdzania projektu (od złożenia wniosku o dofinansowanie do podpisania umowy)</w:t>
      </w:r>
      <w:r w:rsidR="005277B4" w:rsidRPr="00211D94">
        <w:rPr>
          <w:rFonts w:cs="Arial"/>
          <w:szCs w:val="24"/>
          <w:lang w:eastAsia="pl-PL"/>
        </w:rPr>
        <w:t>”</w:t>
      </w:r>
      <w:r w:rsidR="00214BA9" w:rsidRPr="00211D94">
        <w:rPr>
          <w:rFonts w:cs="Arial"/>
          <w:szCs w:val="24"/>
          <w:lang w:eastAsia="pl-PL"/>
        </w:rPr>
        <w:t xml:space="preserve"> - 334 dni,</w:t>
      </w:r>
    </w:p>
    <w:p w14:paraId="330980BC" w14:textId="26E23B73" w:rsidR="00214BA9" w:rsidRPr="00211D94" w:rsidRDefault="003B5EF9" w:rsidP="00F55865">
      <w:pPr>
        <w:numPr>
          <w:ilvl w:val="0"/>
          <w:numId w:val="4"/>
        </w:numPr>
        <w:autoSpaceDE w:val="0"/>
        <w:autoSpaceDN w:val="0"/>
        <w:adjustRightInd w:val="0"/>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Ocena przydatności form szkoleniowych dla beneficjentów</w:t>
      </w:r>
      <w:r w:rsidR="005277B4" w:rsidRPr="00211D94">
        <w:rPr>
          <w:rFonts w:cs="Arial"/>
          <w:szCs w:val="24"/>
          <w:lang w:eastAsia="pl-PL"/>
        </w:rPr>
        <w:t>”</w:t>
      </w:r>
      <w:r w:rsidR="00214BA9" w:rsidRPr="00211D94">
        <w:rPr>
          <w:rFonts w:cs="Arial"/>
          <w:szCs w:val="24"/>
          <w:lang w:eastAsia="pl-PL"/>
        </w:rPr>
        <w:t xml:space="preserve"> - 4,62 (w skali od 1 do</w:t>
      </w:r>
      <w:r w:rsidR="009442A3" w:rsidRPr="00211D94">
        <w:rPr>
          <w:rFonts w:cs="Arial"/>
          <w:szCs w:val="24"/>
          <w:lang w:eastAsia="pl-PL"/>
        </w:rPr>
        <w:t> </w:t>
      </w:r>
      <w:r w:rsidR="00214BA9" w:rsidRPr="00211D94">
        <w:rPr>
          <w:rFonts w:cs="Arial"/>
          <w:szCs w:val="24"/>
          <w:lang w:eastAsia="pl-PL"/>
        </w:rPr>
        <w:t>5),</w:t>
      </w:r>
    </w:p>
    <w:p w14:paraId="0E9C8BC2" w14:textId="54478051" w:rsidR="00214BA9" w:rsidRPr="00211D94" w:rsidRDefault="003B5EF9" w:rsidP="00F55865">
      <w:pPr>
        <w:numPr>
          <w:ilvl w:val="0"/>
          <w:numId w:val="4"/>
        </w:numPr>
        <w:autoSpaceDE w:val="0"/>
        <w:autoSpaceDN w:val="0"/>
        <w:adjustRightInd w:val="0"/>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Średnia ocena użyteczności systemu informatycznego</w:t>
      </w:r>
      <w:r w:rsidR="005277B4" w:rsidRPr="00211D94">
        <w:rPr>
          <w:rFonts w:cs="Arial"/>
          <w:szCs w:val="24"/>
          <w:lang w:eastAsia="pl-PL"/>
        </w:rPr>
        <w:t>”</w:t>
      </w:r>
      <w:r w:rsidR="00214BA9" w:rsidRPr="00211D94">
        <w:rPr>
          <w:rFonts w:cs="Arial"/>
          <w:szCs w:val="24"/>
          <w:lang w:eastAsia="pl-PL"/>
        </w:rPr>
        <w:t xml:space="preserve"> - 4,51 (w skali od 1 do 5),</w:t>
      </w:r>
    </w:p>
    <w:p w14:paraId="6F7FBB27" w14:textId="3AAC7CF6" w:rsidR="00214BA9" w:rsidRPr="00211D94" w:rsidRDefault="005277B4" w:rsidP="00F55865">
      <w:pPr>
        <w:numPr>
          <w:ilvl w:val="0"/>
          <w:numId w:val="4"/>
        </w:numPr>
        <w:autoSpaceDE w:val="0"/>
        <w:autoSpaceDN w:val="0"/>
        <w:adjustRightInd w:val="0"/>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Poziom fluktuacji pracowników w instytucjach zaangażowanych w politykę spójności</w:t>
      </w:r>
      <w:r w:rsidRPr="00211D94">
        <w:rPr>
          <w:rFonts w:cs="Arial"/>
          <w:szCs w:val="24"/>
          <w:lang w:eastAsia="pl-PL"/>
        </w:rPr>
        <w:t>”</w:t>
      </w:r>
      <w:r w:rsidR="00214BA9" w:rsidRPr="00211D94">
        <w:rPr>
          <w:rFonts w:cs="Arial"/>
          <w:szCs w:val="24"/>
          <w:lang w:eastAsia="pl-PL"/>
        </w:rPr>
        <w:t xml:space="preserve"> </w:t>
      </w:r>
      <w:r w:rsidR="00724809" w:rsidRPr="00211D94">
        <w:rPr>
          <w:rFonts w:cs="Arial"/>
          <w:szCs w:val="24"/>
          <w:lang w:eastAsia="pl-PL"/>
        </w:rPr>
        <w:t>wyniósł 6,03%, co jest niższym wynikiem niż planowane 7,2%. Oznacza to, że kadra w tych instytucjach pozostaje stosunkowo stabilna, co może świadczyć o dobrych warunkach pracy i skutecznym zarządzaniu zasobami ludzkimi.</w:t>
      </w:r>
    </w:p>
    <w:p w14:paraId="123BB17F" w14:textId="5D512286" w:rsidR="00214BA9" w:rsidRPr="00211D94" w:rsidRDefault="009442A3" w:rsidP="00F55865">
      <w:pPr>
        <w:autoSpaceDE w:val="0"/>
        <w:autoSpaceDN w:val="0"/>
        <w:adjustRightInd w:val="0"/>
        <w:spacing w:before="120" w:after="120"/>
        <w:rPr>
          <w:rFonts w:cs="Arial"/>
          <w:szCs w:val="24"/>
          <w:lang w:eastAsia="pl-PL"/>
        </w:rPr>
      </w:pPr>
      <w:r w:rsidRPr="00211D94">
        <w:rPr>
          <w:rFonts w:cs="Arial"/>
          <w:szCs w:val="24"/>
          <w:lang w:eastAsia="pl-PL"/>
        </w:rPr>
        <w:t>W okresie realizacji OP12 n</w:t>
      </w:r>
      <w:r w:rsidR="00214BA9" w:rsidRPr="00211D94">
        <w:rPr>
          <w:rFonts w:cs="Arial"/>
          <w:szCs w:val="24"/>
          <w:lang w:eastAsia="pl-PL"/>
        </w:rPr>
        <w:t>ie zidentyfikowano znaczących problemów we wdrażaniu.</w:t>
      </w:r>
    </w:p>
    <w:p w14:paraId="493C087A" w14:textId="251F3C87" w:rsidR="007D0568" w:rsidRPr="00211D94" w:rsidRDefault="007D0568" w:rsidP="00F55865">
      <w:pPr>
        <w:pStyle w:val="Nagwek2"/>
        <w:spacing w:before="120" w:after="120"/>
        <w:rPr>
          <w:rFonts w:cs="Arial"/>
          <w:color w:val="FFFFFF" w:themeColor="background1"/>
          <w:sz w:val="24"/>
          <w:szCs w:val="24"/>
        </w:rPr>
      </w:pPr>
      <w:bookmarkStart w:id="171" w:name="_Toc214025293"/>
      <w:r w:rsidRPr="00211D94">
        <w:rPr>
          <w:rFonts w:eastAsia="Calibri" w:cs="Arial"/>
          <w:color w:val="FFFFFF" w:themeColor="background1"/>
          <w:sz w:val="24"/>
          <w:szCs w:val="24"/>
        </w:rPr>
        <w:t>OP13. ODBUDOWA I ODPORNOŚĆ (REACT-EU)</w:t>
      </w:r>
      <w:bookmarkEnd w:id="171"/>
    </w:p>
    <w:tbl>
      <w:tblPr>
        <w:tblW w:w="0" w:type="auto"/>
        <w:tblLook w:val="04A0" w:firstRow="1" w:lastRow="0" w:firstColumn="1" w:lastColumn="0" w:noHBand="0" w:noVBand="1"/>
      </w:tblPr>
      <w:tblGrid>
        <w:gridCol w:w="1656"/>
        <w:gridCol w:w="7416"/>
      </w:tblGrid>
      <w:tr w:rsidR="00BC3953" w:rsidRPr="00211D94" w14:paraId="11790B01" w14:textId="77777777" w:rsidTr="00BC3953">
        <w:tc>
          <w:tcPr>
            <w:tcW w:w="1544" w:type="dxa"/>
            <w:shd w:val="clear" w:color="auto" w:fill="auto"/>
          </w:tcPr>
          <w:p w14:paraId="176F7365" w14:textId="3A61D32C" w:rsidR="00BC3953" w:rsidRPr="00211D94" w:rsidRDefault="00BC3953" w:rsidP="00BC3953">
            <w:pPr>
              <w:spacing w:before="120" w:after="120"/>
              <w:rPr>
                <w:rFonts w:cs="Arial"/>
                <w:b/>
                <w:color w:val="538135"/>
                <w:szCs w:val="24"/>
              </w:rPr>
            </w:pPr>
            <w:r w:rsidRPr="00211D94">
              <w:rPr>
                <w:rFonts w:cs="Arial"/>
                <w:noProof/>
                <w:szCs w:val="24"/>
              </w:rPr>
              <w:drawing>
                <wp:anchor distT="0" distB="0" distL="114300" distR="114300" simplePos="0" relativeHeight="251658240" behindDoc="0" locked="0" layoutInCell="1" allowOverlap="1" wp14:anchorId="2CF83F92" wp14:editId="2C2FA209">
                  <wp:simplePos x="0" y="0"/>
                  <wp:positionH relativeFrom="column">
                    <wp:posOffset>-46190</wp:posOffset>
                  </wp:positionH>
                  <wp:positionV relativeFrom="page">
                    <wp:posOffset>114935</wp:posOffset>
                  </wp:positionV>
                  <wp:extent cx="904875" cy="876300"/>
                  <wp:effectExtent l="0" t="0" r="9525" b="0"/>
                  <wp:wrapTopAndBottom/>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04875" cy="876300"/>
                          </a:xfrm>
                          <a:prstGeom prst="rect">
                            <a:avLst/>
                          </a:prstGeom>
                        </pic:spPr>
                      </pic:pic>
                    </a:graphicData>
                  </a:graphic>
                </wp:anchor>
              </w:drawing>
            </w:r>
          </w:p>
        </w:tc>
        <w:tc>
          <w:tcPr>
            <w:tcW w:w="7528" w:type="dxa"/>
            <w:shd w:val="clear" w:color="auto" w:fill="auto"/>
          </w:tcPr>
          <w:p w14:paraId="29AA9DEB" w14:textId="0F6EB7F3" w:rsidR="00BC3953" w:rsidRPr="00211D94" w:rsidRDefault="00BC3953" w:rsidP="00BC3953">
            <w:pPr>
              <w:tabs>
                <w:tab w:val="left" w:pos="432"/>
              </w:tabs>
              <w:spacing w:before="120" w:after="120"/>
              <w:rPr>
                <w:rFonts w:cs="Arial"/>
                <w:szCs w:val="24"/>
              </w:rPr>
            </w:pPr>
            <w:r w:rsidRPr="00211D94">
              <w:rPr>
                <w:rFonts w:cs="Arial"/>
                <w:szCs w:val="24"/>
              </w:rPr>
              <w:t>OP13 (PI 13i) powstała w ramach inicjatywy REACT-EU w odpowiedzi na potrzebę wzmocnienia projektów wspierających kryzysowe działania naprawcze w kontekście pandemii COVID-19 i jej skutków społecznych oraz przygotowujących do ekologicznej i cyfrowej odbudowy gospodarki zwiększającej jej odporność</w:t>
            </w:r>
          </w:p>
        </w:tc>
      </w:tr>
    </w:tbl>
    <w:p w14:paraId="75AC3955" w14:textId="77777777" w:rsidR="00F21B81" w:rsidRPr="00211D94" w:rsidRDefault="00F21B81" w:rsidP="00F21B81">
      <w:pPr>
        <w:tabs>
          <w:tab w:val="left" w:pos="432"/>
        </w:tabs>
        <w:spacing w:before="120" w:after="120"/>
        <w:rPr>
          <w:rFonts w:cs="Arial"/>
          <w:szCs w:val="24"/>
        </w:rPr>
      </w:pPr>
      <w:r w:rsidRPr="00211D94">
        <w:rPr>
          <w:rFonts w:cs="Arial"/>
          <w:szCs w:val="24"/>
        </w:rPr>
        <w:t>Charakterystyka i wnioski</w:t>
      </w:r>
    </w:p>
    <w:p w14:paraId="61FDA05D" w14:textId="5C080AF2" w:rsidR="005D1187" w:rsidRPr="00211D94" w:rsidRDefault="005D1187" w:rsidP="00F55865">
      <w:pPr>
        <w:tabs>
          <w:tab w:val="left" w:pos="432"/>
        </w:tabs>
        <w:spacing w:before="120" w:after="120"/>
        <w:rPr>
          <w:rFonts w:cs="Arial"/>
          <w:szCs w:val="24"/>
        </w:rPr>
      </w:pPr>
      <w:r w:rsidRPr="00211D94">
        <w:rPr>
          <w:rFonts w:cs="Arial"/>
          <w:szCs w:val="24"/>
        </w:rPr>
        <w:t xml:space="preserve">W ramach OP13. </w:t>
      </w:r>
      <w:r w:rsidR="005277B4" w:rsidRPr="00211D94">
        <w:rPr>
          <w:rFonts w:cs="Arial"/>
          <w:szCs w:val="24"/>
        </w:rPr>
        <w:t>„</w:t>
      </w:r>
      <w:r w:rsidR="009F5C37" w:rsidRPr="00211D94">
        <w:rPr>
          <w:rFonts w:cs="Arial"/>
          <w:szCs w:val="24"/>
        </w:rPr>
        <w:t>Odbudowa i odporność (REACT-EU)</w:t>
      </w:r>
      <w:r w:rsidR="005277B4" w:rsidRPr="00211D94">
        <w:rPr>
          <w:rFonts w:cs="Arial"/>
          <w:szCs w:val="24"/>
        </w:rPr>
        <w:t>”</w:t>
      </w:r>
      <w:r w:rsidRPr="00211D94">
        <w:rPr>
          <w:rFonts w:cs="Arial"/>
          <w:szCs w:val="24"/>
        </w:rPr>
        <w:t xml:space="preserve"> zawarto </w:t>
      </w:r>
      <w:r w:rsidRPr="00211D94">
        <w:rPr>
          <w:rFonts w:cs="Arial"/>
          <w:b/>
          <w:szCs w:val="24"/>
        </w:rPr>
        <w:t xml:space="preserve">14 </w:t>
      </w:r>
      <w:r w:rsidRPr="00211D94">
        <w:rPr>
          <w:rFonts w:cs="Arial"/>
          <w:szCs w:val="24"/>
        </w:rPr>
        <w:t xml:space="preserve">umów na kwotę </w:t>
      </w:r>
      <w:r w:rsidR="009F5C37" w:rsidRPr="00211D94">
        <w:rPr>
          <w:rFonts w:cs="Arial"/>
          <w:b/>
          <w:szCs w:val="24"/>
        </w:rPr>
        <w:t xml:space="preserve">34 709 537 </w:t>
      </w:r>
      <w:r w:rsidRPr="00211D94">
        <w:rPr>
          <w:rFonts w:cs="Arial"/>
          <w:b/>
          <w:szCs w:val="24"/>
        </w:rPr>
        <w:t>EUR</w:t>
      </w:r>
      <w:r w:rsidRPr="00211D94">
        <w:rPr>
          <w:rFonts w:cs="Arial"/>
          <w:szCs w:val="24"/>
        </w:rPr>
        <w:t xml:space="preserve">, w tym dofinansowanie UE </w:t>
      </w:r>
      <w:bookmarkStart w:id="172" w:name="_Hlk212740901"/>
      <w:r w:rsidR="009F5C37" w:rsidRPr="00211D94">
        <w:rPr>
          <w:rFonts w:cs="Arial"/>
          <w:b/>
          <w:szCs w:val="24"/>
        </w:rPr>
        <w:t xml:space="preserve">27 115 897 </w:t>
      </w:r>
      <w:r w:rsidRPr="00211D94">
        <w:rPr>
          <w:rFonts w:cs="Arial"/>
          <w:b/>
          <w:szCs w:val="24"/>
        </w:rPr>
        <w:t>EUR</w:t>
      </w:r>
      <w:bookmarkEnd w:id="172"/>
      <w:r w:rsidRPr="00211D94">
        <w:rPr>
          <w:rFonts w:cs="Arial"/>
          <w:szCs w:val="24"/>
        </w:rPr>
        <w:t xml:space="preserve">. Tym samym kontraktacja w tej Osi została osiągnięta na poziomie </w:t>
      </w:r>
      <w:r w:rsidR="009F5C37" w:rsidRPr="00211D94">
        <w:rPr>
          <w:rFonts w:cs="Arial"/>
          <w:b/>
          <w:szCs w:val="24"/>
        </w:rPr>
        <w:t>104,7</w:t>
      </w:r>
      <w:r w:rsidRPr="00211D94">
        <w:rPr>
          <w:rFonts w:cs="Arial"/>
          <w:b/>
          <w:szCs w:val="24"/>
        </w:rPr>
        <w:t>%</w:t>
      </w:r>
      <w:r w:rsidRPr="00211D94">
        <w:rPr>
          <w:rFonts w:cs="Arial"/>
          <w:szCs w:val="24"/>
        </w:rPr>
        <w:t xml:space="preserve"> alokacji przeznaczonej na realizację OP1</w:t>
      </w:r>
      <w:r w:rsidR="009F5C37" w:rsidRPr="00211D94">
        <w:rPr>
          <w:rFonts w:cs="Arial"/>
          <w:szCs w:val="24"/>
        </w:rPr>
        <w:t>3</w:t>
      </w:r>
      <w:r w:rsidRPr="00211D94">
        <w:rPr>
          <w:rFonts w:cs="Arial"/>
          <w:szCs w:val="24"/>
        </w:rPr>
        <w:t>.</w:t>
      </w:r>
    </w:p>
    <w:p w14:paraId="68A5E458" w14:textId="77777777" w:rsidR="00F9724B" w:rsidRPr="00211D94" w:rsidRDefault="005D1187" w:rsidP="00F55865">
      <w:pPr>
        <w:tabs>
          <w:tab w:val="left" w:pos="432"/>
        </w:tabs>
        <w:spacing w:before="120" w:after="120"/>
        <w:rPr>
          <w:rFonts w:cs="Arial"/>
          <w:szCs w:val="24"/>
        </w:rPr>
      </w:pPr>
      <w:r w:rsidRPr="00211D94">
        <w:rPr>
          <w:rFonts w:cs="Arial"/>
          <w:szCs w:val="24"/>
        </w:rPr>
        <w:t>W ramach złożonych przez beneficjentów wniosków o płatność uznano za kwalifikowalne</w:t>
      </w:r>
      <w:r w:rsidRPr="00211D94" w:rsidDel="00B01744">
        <w:rPr>
          <w:rFonts w:cs="Arial"/>
          <w:szCs w:val="24"/>
        </w:rPr>
        <w:t xml:space="preserve"> </w:t>
      </w:r>
      <w:r w:rsidRPr="00211D94">
        <w:rPr>
          <w:rFonts w:cs="Arial"/>
          <w:szCs w:val="24"/>
        </w:rPr>
        <w:t xml:space="preserve">wydatki na kwotę </w:t>
      </w:r>
      <w:r w:rsidR="009F5C37" w:rsidRPr="00211D94">
        <w:rPr>
          <w:rFonts w:cs="Arial"/>
          <w:b/>
          <w:szCs w:val="24"/>
        </w:rPr>
        <w:t xml:space="preserve">32 890 968 </w:t>
      </w:r>
      <w:r w:rsidRPr="00211D94">
        <w:rPr>
          <w:rFonts w:cs="Arial"/>
          <w:b/>
          <w:szCs w:val="24"/>
        </w:rPr>
        <w:t>EUR</w:t>
      </w:r>
      <w:r w:rsidRPr="00211D94">
        <w:rPr>
          <w:rFonts w:cs="Arial"/>
          <w:szCs w:val="24"/>
        </w:rPr>
        <w:t xml:space="preserve">, w tym </w:t>
      </w:r>
      <w:r w:rsidR="009F5C37" w:rsidRPr="00211D94">
        <w:rPr>
          <w:rFonts w:cs="Arial"/>
          <w:b/>
          <w:szCs w:val="24"/>
        </w:rPr>
        <w:t xml:space="preserve">27 115 897 </w:t>
      </w:r>
      <w:r w:rsidRPr="00211D94">
        <w:rPr>
          <w:rFonts w:cs="Arial"/>
          <w:b/>
          <w:szCs w:val="24"/>
        </w:rPr>
        <w:t>EUR</w:t>
      </w:r>
      <w:r w:rsidRPr="00211D94">
        <w:rPr>
          <w:rFonts w:cs="Arial"/>
          <w:szCs w:val="24"/>
        </w:rPr>
        <w:t xml:space="preserve"> dofinansowania UE, co stanowi </w:t>
      </w:r>
      <w:r w:rsidRPr="00211D94">
        <w:rPr>
          <w:rFonts w:cs="Arial"/>
          <w:b/>
          <w:szCs w:val="24"/>
        </w:rPr>
        <w:t>10</w:t>
      </w:r>
      <w:r w:rsidR="009F5C37" w:rsidRPr="00211D94">
        <w:rPr>
          <w:rFonts w:cs="Arial"/>
          <w:b/>
          <w:szCs w:val="24"/>
        </w:rPr>
        <w:t>4</w:t>
      </w:r>
      <w:r w:rsidRPr="00211D94">
        <w:rPr>
          <w:rFonts w:cs="Arial"/>
          <w:b/>
          <w:szCs w:val="24"/>
        </w:rPr>
        <w:t xml:space="preserve">,7% </w:t>
      </w:r>
      <w:r w:rsidRPr="00211D94">
        <w:rPr>
          <w:rFonts w:cs="Arial"/>
          <w:szCs w:val="24"/>
        </w:rPr>
        <w:t>przeznaczonej na OP1</w:t>
      </w:r>
      <w:r w:rsidR="009F5C37" w:rsidRPr="00211D94">
        <w:rPr>
          <w:rFonts w:cs="Arial"/>
          <w:szCs w:val="24"/>
        </w:rPr>
        <w:t>3</w:t>
      </w:r>
      <w:r w:rsidRPr="00211D94">
        <w:rPr>
          <w:rFonts w:cs="Arial"/>
          <w:szCs w:val="24"/>
        </w:rPr>
        <w:t xml:space="preserve"> alokacji. </w:t>
      </w:r>
    </w:p>
    <w:p w14:paraId="3A28682E" w14:textId="261F5571" w:rsidR="00233A72" w:rsidRPr="00211D94" w:rsidRDefault="003920C0" w:rsidP="00F55865">
      <w:pPr>
        <w:tabs>
          <w:tab w:val="left" w:pos="432"/>
        </w:tabs>
        <w:spacing w:before="120" w:after="120"/>
        <w:rPr>
          <w:rFonts w:cs="Arial"/>
          <w:szCs w:val="24"/>
        </w:rPr>
      </w:pPr>
      <w:r w:rsidRPr="00211D94">
        <w:rPr>
          <w:rFonts w:cs="Arial"/>
          <w:szCs w:val="24"/>
        </w:rPr>
        <w:t>Cała alokacja środków OP13 z REACT-EU została skierowana na realizację zadań w trzech obszarach interwencji:</w:t>
      </w:r>
    </w:p>
    <w:p w14:paraId="3DA7D011" w14:textId="77777777" w:rsidR="00233A72" w:rsidRPr="00211D94" w:rsidRDefault="00233A72" w:rsidP="00F55865">
      <w:pPr>
        <w:pStyle w:val="garNORM"/>
        <w:spacing w:before="120" w:after="120"/>
        <w:jc w:val="left"/>
        <w:rPr>
          <w:rFonts w:ascii="Arial" w:hAnsi="Arial" w:cs="Arial"/>
          <w:b/>
          <w:sz w:val="24"/>
          <w:szCs w:val="24"/>
        </w:rPr>
      </w:pPr>
      <w:r w:rsidRPr="00211D94">
        <w:rPr>
          <w:rFonts w:ascii="Arial" w:hAnsi="Arial" w:cs="Arial"/>
          <w:b/>
          <w:sz w:val="24"/>
          <w:szCs w:val="24"/>
        </w:rPr>
        <w:t>W obszarze wsparcia przedsiębiorstw:</w:t>
      </w:r>
    </w:p>
    <w:p w14:paraId="597CE843" w14:textId="77777777" w:rsidR="003920C0" w:rsidRPr="00211D94" w:rsidRDefault="003920C0" w:rsidP="00F55865">
      <w:pPr>
        <w:spacing w:before="120" w:after="120"/>
        <w:rPr>
          <w:rFonts w:cs="Arial"/>
          <w:szCs w:val="24"/>
        </w:rPr>
      </w:pPr>
      <w:r w:rsidRPr="00211D94">
        <w:rPr>
          <w:rFonts w:cs="Arial"/>
          <w:szCs w:val="24"/>
        </w:rPr>
        <w:t xml:space="preserve">W ramach inicjatywy REACT-EU do Programu włączono poddziałania ukierunkowane na podnoszenie odporności przedsiębiorstw i gospodarki na kryzysy – dotacje połączone z doradztwem i szkoleniami w ramach Poddziałania 13.1.1 „Mikro, małe i średnie przedsiębiorstwa – REACT-EU – wsparcie dotacyjne” (PI 13i) oraz instrument finansowy „Pożyczka na odbudowę biznesu” w Poddziałaniu 13.1.2 „Mikro, małe i średnie przedsiębiorstwa – REACT-EU – wsparcie </w:t>
      </w:r>
      <w:proofErr w:type="spellStart"/>
      <w:r w:rsidRPr="00211D94">
        <w:rPr>
          <w:rFonts w:cs="Arial"/>
          <w:szCs w:val="24"/>
        </w:rPr>
        <w:t>pozadotacyjne</w:t>
      </w:r>
      <w:proofErr w:type="spellEnd"/>
      <w:r w:rsidRPr="00211D94">
        <w:rPr>
          <w:rFonts w:cs="Arial"/>
          <w:szCs w:val="24"/>
        </w:rPr>
        <w:t>” (PI 13i).</w:t>
      </w:r>
    </w:p>
    <w:p w14:paraId="0FB9706B" w14:textId="662915A0" w:rsidR="00CD5F3C" w:rsidRPr="00211D94" w:rsidRDefault="00CD5F3C" w:rsidP="00CD5F3C">
      <w:pPr>
        <w:tabs>
          <w:tab w:val="left" w:pos="432"/>
        </w:tabs>
        <w:spacing w:before="120" w:after="120"/>
        <w:rPr>
          <w:rFonts w:cs="Arial"/>
          <w:szCs w:val="24"/>
        </w:rPr>
      </w:pPr>
      <w:r w:rsidRPr="00211D94">
        <w:rPr>
          <w:rFonts w:cs="Arial"/>
          <w:szCs w:val="24"/>
        </w:rPr>
        <w:t xml:space="preserve">W ramach Poddziałania 13.1.1 w trybie konkursowym wyłoniono jednego beneficjenta pełniącego funkcję operatora projektu grantowego, odpowiedzialnego za udzielanie dalszego wsparcia </w:t>
      </w:r>
      <w:proofErr w:type="spellStart"/>
      <w:r w:rsidRPr="00211D94">
        <w:rPr>
          <w:rFonts w:cs="Arial"/>
          <w:szCs w:val="24"/>
        </w:rPr>
        <w:t>grantobiorcom</w:t>
      </w:r>
      <w:proofErr w:type="spellEnd"/>
      <w:r w:rsidRPr="00211D94">
        <w:rPr>
          <w:rFonts w:cs="Arial"/>
          <w:szCs w:val="24"/>
        </w:rPr>
        <w:t>. Funkcję tę objęła ARP, realizująca projekt „IMPULS – odbudowa potencjału pomorskich przedsiębiorstw z branży czasu wolnego” o wartości 12,8 mln EUR, z dofinansowaniem UE w wysokości 8,1 mln EUR.</w:t>
      </w:r>
    </w:p>
    <w:p w14:paraId="581A74D0" w14:textId="77777777" w:rsidR="00CD5F3C" w:rsidRPr="00211D94" w:rsidRDefault="00CD5F3C" w:rsidP="00CD5F3C">
      <w:pPr>
        <w:tabs>
          <w:tab w:val="left" w:pos="432"/>
        </w:tabs>
        <w:spacing w:before="120" w:after="120"/>
        <w:rPr>
          <w:rFonts w:cs="Arial"/>
          <w:szCs w:val="24"/>
        </w:rPr>
      </w:pPr>
      <w:r w:rsidRPr="00211D94">
        <w:rPr>
          <w:rFonts w:cs="Arial"/>
          <w:szCs w:val="24"/>
        </w:rPr>
        <w:t xml:space="preserve">ARP przeprowadziła dwa nabory wniosków o udzielenie grantów na realizację inwestycji ukierunkowanych na odbudowę i rozwój potencjału przedsiębiorstw oraz zwiększenie ich odporności na kryzys gospodarczy wywołany pandemią COVID-19. W rezultacie wsparciem objęto 266 przedsiębiorców, co stanowi 88,7% wartości docelowej określonej w Programie. Początkowo zakładano osiągnięcie wskaźnika na poziomie 300 przedsiębiorców; ostatecznie niższy poziom realizacji był konsekwencją rezygnacji części </w:t>
      </w:r>
      <w:proofErr w:type="spellStart"/>
      <w:r w:rsidRPr="00211D94">
        <w:rPr>
          <w:rFonts w:cs="Arial"/>
          <w:szCs w:val="24"/>
        </w:rPr>
        <w:t>grantobiorców</w:t>
      </w:r>
      <w:proofErr w:type="spellEnd"/>
      <w:r w:rsidRPr="00211D94">
        <w:rPr>
          <w:rFonts w:cs="Arial"/>
          <w:szCs w:val="24"/>
        </w:rPr>
        <w:t xml:space="preserve"> na etapie podpisywania umów o dofinansowanie oraz rozwiązania niektórych umów przez ARP z powodu niewywiązywania się beneficjentów z zobowiązań projektowych.</w:t>
      </w:r>
    </w:p>
    <w:p w14:paraId="728395E7" w14:textId="5128DCF5" w:rsidR="00E729A6" w:rsidRPr="00211D94" w:rsidRDefault="00E729A6" w:rsidP="00F55865">
      <w:pPr>
        <w:tabs>
          <w:tab w:val="left" w:pos="432"/>
        </w:tabs>
        <w:spacing w:before="120" w:after="120"/>
        <w:rPr>
          <w:rFonts w:cs="Arial"/>
          <w:szCs w:val="24"/>
        </w:rPr>
      </w:pPr>
      <w:r w:rsidRPr="00211D94">
        <w:rPr>
          <w:rFonts w:cs="Arial"/>
          <w:szCs w:val="24"/>
        </w:rPr>
        <w:t xml:space="preserve">W ramach Poddziałania 13.1.2 </w:t>
      </w:r>
      <w:r w:rsidR="00401222" w:rsidRPr="00211D94">
        <w:rPr>
          <w:rFonts w:cs="Arial"/>
          <w:szCs w:val="24"/>
        </w:rPr>
        <w:t xml:space="preserve">w trybie pozakonkursowym </w:t>
      </w:r>
      <w:r w:rsidR="00743962" w:rsidRPr="00211D94">
        <w:rPr>
          <w:rFonts w:cs="Arial"/>
          <w:szCs w:val="24"/>
        </w:rPr>
        <w:t>wybrano Pomorski Fundusz Rozwoju Sp. z o.o</w:t>
      </w:r>
      <w:r w:rsidR="00CD6600" w:rsidRPr="00211D94">
        <w:rPr>
          <w:rFonts w:cs="Arial"/>
          <w:szCs w:val="24"/>
        </w:rPr>
        <w:t>.</w:t>
      </w:r>
      <w:r w:rsidR="00743962" w:rsidRPr="00211D94">
        <w:rPr>
          <w:rFonts w:cs="Arial"/>
          <w:szCs w:val="24"/>
        </w:rPr>
        <w:t xml:space="preserve"> </w:t>
      </w:r>
      <w:r w:rsidR="00401222" w:rsidRPr="00211D94">
        <w:rPr>
          <w:rFonts w:cs="Arial"/>
          <w:szCs w:val="24"/>
        </w:rPr>
        <w:t>jako Menadżer</w:t>
      </w:r>
      <w:r w:rsidR="00743962" w:rsidRPr="00211D94">
        <w:rPr>
          <w:rFonts w:cs="Arial"/>
          <w:szCs w:val="24"/>
        </w:rPr>
        <w:t xml:space="preserve">a </w:t>
      </w:r>
      <w:r w:rsidR="00401222" w:rsidRPr="00211D94">
        <w:rPr>
          <w:rFonts w:cs="Arial"/>
          <w:szCs w:val="24"/>
        </w:rPr>
        <w:t>Funduszu Funduszy</w:t>
      </w:r>
      <w:r w:rsidR="007F35B1" w:rsidRPr="00211D94">
        <w:rPr>
          <w:rFonts w:cs="Arial"/>
          <w:szCs w:val="24"/>
        </w:rPr>
        <w:t xml:space="preserve"> dla </w:t>
      </w:r>
      <w:r w:rsidR="00743962" w:rsidRPr="00211D94">
        <w:rPr>
          <w:rFonts w:cs="Arial"/>
          <w:szCs w:val="24"/>
        </w:rPr>
        <w:t>projekt</w:t>
      </w:r>
      <w:r w:rsidR="007F35B1" w:rsidRPr="00211D94">
        <w:rPr>
          <w:rFonts w:cs="Arial"/>
          <w:szCs w:val="24"/>
        </w:rPr>
        <w:t>u</w:t>
      </w:r>
      <w:r w:rsidR="00743962" w:rsidRPr="00211D94">
        <w:rPr>
          <w:rFonts w:cs="Arial"/>
          <w:szCs w:val="24"/>
        </w:rPr>
        <w:t xml:space="preserve"> „Poprawa dostępu pomorskich MŚP do finansowania inwestycji poprzez wsparcie zwrotne ukierunkowane na kryzysowe działania naprawcze w kontekście pandemii COVID-19 i jej skutków (Pomorski Fundusz Rozwoju – REACT-EU)”</w:t>
      </w:r>
      <w:r w:rsidR="007F35B1" w:rsidRPr="00211D94">
        <w:rPr>
          <w:rFonts w:cs="Arial"/>
          <w:szCs w:val="24"/>
        </w:rPr>
        <w:t xml:space="preserve"> o wartości 5,6 mln EUR, dofinansowanie UE 5,6 mln EUR.</w:t>
      </w:r>
      <w:r w:rsidR="00A94068" w:rsidRPr="00211D94">
        <w:rPr>
          <w:rFonts w:cs="Arial"/>
          <w:szCs w:val="24"/>
        </w:rPr>
        <w:t xml:space="preserve"> W ramach projektu</w:t>
      </w:r>
      <w:r w:rsidR="00ED39C7" w:rsidRPr="00211D94">
        <w:rPr>
          <w:rFonts w:cs="Arial"/>
          <w:szCs w:val="24"/>
        </w:rPr>
        <w:t xml:space="preserve"> </w:t>
      </w:r>
      <w:r w:rsidR="00A94068" w:rsidRPr="00211D94">
        <w:rPr>
          <w:rFonts w:cs="Arial"/>
          <w:szCs w:val="24"/>
        </w:rPr>
        <w:t>o</w:t>
      </w:r>
      <w:r w:rsidR="00ED39C7" w:rsidRPr="00211D94">
        <w:rPr>
          <w:rFonts w:cs="Arial"/>
          <w:szCs w:val="24"/>
        </w:rPr>
        <w:t>siągnięto</w:t>
      </w:r>
      <w:r w:rsidR="00A94068" w:rsidRPr="00211D94">
        <w:rPr>
          <w:rFonts w:cs="Arial"/>
          <w:szCs w:val="24"/>
        </w:rPr>
        <w:t xml:space="preserve"> wskaźnik programowy „Liczba przedsiębiorstw otrzymujących wsparcie finansowe inne niż dotacje” na poziomie 112% wartości docelowej (56 szt.).</w:t>
      </w:r>
    </w:p>
    <w:p w14:paraId="49759812" w14:textId="2706D88A" w:rsidR="00C51E90" w:rsidRPr="00211D94" w:rsidRDefault="00C51E90" w:rsidP="00F55865">
      <w:pPr>
        <w:tabs>
          <w:tab w:val="left" w:pos="432"/>
        </w:tabs>
        <w:spacing w:before="120" w:after="120"/>
        <w:rPr>
          <w:rFonts w:cs="Arial"/>
          <w:szCs w:val="24"/>
        </w:rPr>
      </w:pPr>
      <w:r w:rsidRPr="00211D94">
        <w:rPr>
          <w:rFonts w:cs="Arial"/>
          <w:szCs w:val="24"/>
        </w:rPr>
        <w:t>Realizacja Działania przyczyniła się do zwiększenia poziomu inwestycji w sektorze MŚP, ukierunkowanych na odbudowę pozycji rynkowej przedsiębiorstw, wzmocnienie ich odporności oraz zdobywanie nowych przewag konkurencyjnych – m.in. poprzez działania wspierające cyfrową i zieloną transformację firm.</w:t>
      </w:r>
    </w:p>
    <w:p w14:paraId="7E347597" w14:textId="46D50C93" w:rsidR="005716F7" w:rsidRPr="00211D94" w:rsidRDefault="005716F7" w:rsidP="00F55865">
      <w:pPr>
        <w:tabs>
          <w:tab w:val="left" w:pos="432"/>
        </w:tabs>
        <w:spacing w:before="120" w:after="120"/>
        <w:rPr>
          <w:rFonts w:cs="Arial"/>
          <w:szCs w:val="24"/>
        </w:rPr>
      </w:pPr>
      <w:r w:rsidRPr="00211D94">
        <w:rPr>
          <w:rFonts w:cs="Arial"/>
          <w:szCs w:val="24"/>
        </w:rPr>
        <w:t>Z badania ewaluacyjnego dotyczącego m. in. oceny interwencji wprowadzonej w związku z negatywnymi skutkami gospodarczymi pandemii COVID-19 dla pomorskich MŚ</w:t>
      </w:r>
      <w:r w:rsidR="00C51E90" w:rsidRPr="00211D94">
        <w:rPr>
          <w:rFonts w:cs="Arial"/>
          <w:szCs w:val="24"/>
        </w:rPr>
        <w:t>P</w:t>
      </w:r>
      <w:r w:rsidRPr="00211D94">
        <w:rPr>
          <w:rFonts w:cs="Arial"/>
          <w:szCs w:val="24"/>
        </w:rPr>
        <w:t xml:space="preserve"> wynik</w:t>
      </w:r>
      <w:r w:rsidR="00A94068" w:rsidRPr="00211D94">
        <w:rPr>
          <w:rFonts w:cs="Arial"/>
          <w:szCs w:val="24"/>
        </w:rPr>
        <w:t>a</w:t>
      </w:r>
      <w:r w:rsidRPr="00211D94">
        <w:rPr>
          <w:rFonts w:cs="Arial"/>
          <w:szCs w:val="24"/>
        </w:rPr>
        <w:t>, że zastosowane rozwiązania mające na celu przeciwdziałanie bezpośrednim skutkom pandemii w większości stanowią obecnie bazę wiedzy do ewentualnego wykorzystywania w przyszłych potencjalnych sytuacjach kryzysowych.</w:t>
      </w:r>
    </w:p>
    <w:p w14:paraId="48A3FB68" w14:textId="24431AEE" w:rsidR="001346DD" w:rsidRPr="00211D94" w:rsidRDefault="001346DD" w:rsidP="00F55865">
      <w:pPr>
        <w:tabs>
          <w:tab w:val="left" w:pos="432"/>
        </w:tabs>
        <w:spacing w:before="120" w:after="120"/>
        <w:rPr>
          <w:rFonts w:cs="Arial"/>
          <w:b/>
          <w:szCs w:val="24"/>
        </w:rPr>
      </w:pPr>
      <w:r w:rsidRPr="00211D94">
        <w:rPr>
          <w:rFonts w:cs="Arial"/>
          <w:b/>
          <w:szCs w:val="24"/>
        </w:rPr>
        <w:t>W obszarze ochrony zdrowia:</w:t>
      </w:r>
    </w:p>
    <w:p w14:paraId="3D29BEA3" w14:textId="1154145E" w:rsidR="00EC495B" w:rsidRPr="00211D94" w:rsidRDefault="00EC495B" w:rsidP="00F55865">
      <w:pPr>
        <w:tabs>
          <w:tab w:val="left" w:pos="432"/>
        </w:tabs>
        <w:spacing w:before="120" w:after="120"/>
        <w:rPr>
          <w:rFonts w:cs="Arial"/>
          <w:szCs w:val="24"/>
        </w:rPr>
      </w:pPr>
      <w:r w:rsidRPr="00211D94">
        <w:rPr>
          <w:rFonts w:cs="Arial"/>
          <w:szCs w:val="24"/>
        </w:rPr>
        <w:t xml:space="preserve">Wsparcie z </w:t>
      </w:r>
      <w:r w:rsidR="00031F5B" w:rsidRPr="00211D94">
        <w:rPr>
          <w:rFonts w:cs="Arial"/>
          <w:szCs w:val="24"/>
        </w:rPr>
        <w:t>Działani</w:t>
      </w:r>
      <w:r w:rsidR="00C51E90" w:rsidRPr="00211D94">
        <w:rPr>
          <w:rFonts w:cs="Arial"/>
          <w:szCs w:val="24"/>
        </w:rPr>
        <w:t>a</w:t>
      </w:r>
      <w:r w:rsidR="00031F5B" w:rsidRPr="00211D94">
        <w:rPr>
          <w:rFonts w:cs="Arial"/>
          <w:szCs w:val="24"/>
        </w:rPr>
        <w:t xml:space="preserve"> 13.2</w:t>
      </w:r>
      <w:r w:rsidR="00CD6600" w:rsidRPr="00211D94">
        <w:rPr>
          <w:rFonts w:cs="Arial"/>
          <w:szCs w:val="24"/>
        </w:rPr>
        <w:t>.</w:t>
      </w:r>
      <w:r w:rsidR="00031F5B" w:rsidRPr="00211D94">
        <w:rPr>
          <w:rFonts w:cs="Arial"/>
          <w:szCs w:val="24"/>
        </w:rPr>
        <w:t xml:space="preserve"> </w:t>
      </w:r>
      <w:r w:rsidR="005277B4" w:rsidRPr="00211D94">
        <w:rPr>
          <w:rFonts w:cs="Arial"/>
          <w:szCs w:val="24"/>
        </w:rPr>
        <w:t>„</w:t>
      </w:r>
      <w:r w:rsidR="00031F5B" w:rsidRPr="00211D94">
        <w:rPr>
          <w:rFonts w:cs="Arial"/>
          <w:szCs w:val="24"/>
        </w:rPr>
        <w:t>Ochrona zdrowia – REACT-EU</w:t>
      </w:r>
      <w:r w:rsidR="005277B4" w:rsidRPr="00211D94">
        <w:rPr>
          <w:rFonts w:cs="Arial"/>
          <w:szCs w:val="24"/>
        </w:rPr>
        <w:t>”</w:t>
      </w:r>
      <w:r w:rsidR="003E1069" w:rsidRPr="00211D94">
        <w:rPr>
          <w:rFonts w:cs="Arial"/>
          <w:szCs w:val="24"/>
        </w:rPr>
        <w:t xml:space="preserve"> </w:t>
      </w:r>
      <w:r w:rsidR="00F9724B" w:rsidRPr="00211D94">
        <w:rPr>
          <w:rFonts w:cs="Arial"/>
          <w:szCs w:val="24"/>
        </w:rPr>
        <w:t xml:space="preserve">(PI 13i) </w:t>
      </w:r>
      <w:r w:rsidR="003E1069" w:rsidRPr="00211D94">
        <w:rPr>
          <w:rFonts w:cs="Arial"/>
          <w:szCs w:val="24"/>
        </w:rPr>
        <w:t xml:space="preserve">było </w:t>
      </w:r>
      <w:r w:rsidRPr="00211D94">
        <w:rPr>
          <w:rFonts w:cs="Arial"/>
          <w:szCs w:val="24"/>
        </w:rPr>
        <w:t>ukierunkowane na projekty infrastrukturalne</w:t>
      </w:r>
      <w:r w:rsidR="00C51E90" w:rsidRPr="00211D94">
        <w:rPr>
          <w:rFonts w:cs="Arial"/>
          <w:szCs w:val="24"/>
        </w:rPr>
        <w:t xml:space="preserve"> w obszarze zdrowia</w:t>
      </w:r>
      <w:r w:rsidRPr="00211D94">
        <w:rPr>
          <w:rFonts w:cs="Arial"/>
          <w:szCs w:val="24"/>
        </w:rPr>
        <w:t xml:space="preserve"> służące zwiększeniu dostępności do świadczeń rehabilitacyjnych dla osób z powikłaniami po przebytej chorobie COVID-19 (w tym m.in. kardiologicznymi, neurologicznymi i pulmonologicznymi oraz zwiększające potencjał i dostępność do świadczeń z zakresu opieki onkologicznej</w:t>
      </w:r>
      <w:r w:rsidR="009442A3" w:rsidRPr="00211D94">
        <w:rPr>
          <w:rFonts w:cs="Arial"/>
          <w:szCs w:val="24"/>
        </w:rPr>
        <w:t>)</w:t>
      </w:r>
      <w:r w:rsidRPr="00211D94">
        <w:rPr>
          <w:rFonts w:cs="Arial"/>
          <w:szCs w:val="24"/>
        </w:rPr>
        <w:t xml:space="preserve">. </w:t>
      </w:r>
      <w:r w:rsidR="00031F5B" w:rsidRPr="00211D94">
        <w:rPr>
          <w:rFonts w:cs="Arial"/>
          <w:szCs w:val="24"/>
        </w:rPr>
        <w:t xml:space="preserve">W tym obszarze dofinansowano </w:t>
      </w:r>
      <w:r w:rsidR="00CD6600" w:rsidRPr="00211D94">
        <w:rPr>
          <w:rFonts w:cs="Arial"/>
          <w:szCs w:val="24"/>
        </w:rPr>
        <w:t>dwa</w:t>
      </w:r>
      <w:r w:rsidR="00031F5B" w:rsidRPr="00211D94">
        <w:rPr>
          <w:rFonts w:cs="Arial"/>
          <w:szCs w:val="24"/>
        </w:rPr>
        <w:t xml:space="preserve"> projekty o łącznej kwocie dofinansowania </w:t>
      </w:r>
      <w:r w:rsidRPr="00211D94">
        <w:rPr>
          <w:rFonts w:cs="Arial"/>
          <w:szCs w:val="24"/>
        </w:rPr>
        <w:t xml:space="preserve">UE </w:t>
      </w:r>
      <w:r w:rsidR="00031F5B" w:rsidRPr="00211D94">
        <w:rPr>
          <w:rFonts w:cs="Arial"/>
          <w:szCs w:val="24"/>
        </w:rPr>
        <w:t xml:space="preserve">wynoszącej </w:t>
      </w:r>
      <w:r w:rsidR="00A94068" w:rsidRPr="00211D94">
        <w:rPr>
          <w:rFonts w:cs="Arial"/>
          <w:szCs w:val="24"/>
        </w:rPr>
        <w:t>7,3</w:t>
      </w:r>
      <w:r w:rsidR="00031F5B" w:rsidRPr="00211D94">
        <w:rPr>
          <w:rFonts w:cs="Arial"/>
          <w:szCs w:val="24"/>
        </w:rPr>
        <w:t xml:space="preserve"> mln</w:t>
      </w:r>
      <w:r w:rsidR="00A94068" w:rsidRPr="00211D94">
        <w:rPr>
          <w:rFonts w:cs="Arial"/>
          <w:szCs w:val="24"/>
        </w:rPr>
        <w:t xml:space="preserve"> EUR</w:t>
      </w:r>
      <w:r w:rsidRPr="00211D94">
        <w:rPr>
          <w:rFonts w:cs="Arial"/>
          <w:szCs w:val="24"/>
        </w:rPr>
        <w:t>:</w:t>
      </w:r>
      <w:r w:rsidR="00A94068" w:rsidRPr="00211D94">
        <w:rPr>
          <w:rFonts w:cs="Arial"/>
          <w:szCs w:val="24"/>
        </w:rPr>
        <w:t xml:space="preserve"> </w:t>
      </w:r>
    </w:p>
    <w:p w14:paraId="3A83506C" w14:textId="77777777" w:rsidR="002578FF" w:rsidRPr="00211D94" w:rsidRDefault="00EC495B" w:rsidP="002578FF">
      <w:pPr>
        <w:pStyle w:val="Akapitzlist"/>
        <w:numPr>
          <w:ilvl w:val="0"/>
          <w:numId w:val="66"/>
        </w:numPr>
        <w:tabs>
          <w:tab w:val="left" w:pos="432"/>
        </w:tabs>
        <w:spacing w:before="120" w:after="120" w:line="276" w:lineRule="auto"/>
        <w:rPr>
          <w:rFonts w:cs="Arial"/>
          <w:szCs w:val="24"/>
        </w:rPr>
      </w:pPr>
      <w:r w:rsidRPr="00211D94">
        <w:rPr>
          <w:rFonts w:cs="Arial"/>
          <w:szCs w:val="24"/>
        </w:rPr>
        <w:t xml:space="preserve">„Dostosowanie infrastruktury i sprzętu do możliwości realizowania wysokojakościowej obsługi pacjentów wymagających rehabilitacji, również w zakresie rehabilitacji powikłań po chorobie COVID-19” </w:t>
      </w:r>
      <w:r w:rsidR="00F66AE2" w:rsidRPr="00211D94">
        <w:rPr>
          <w:rFonts w:cs="Arial"/>
          <w:szCs w:val="24"/>
        </w:rPr>
        <w:t>- projekt r</w:t>
      </w:r>
      <w:r w:rsidRPr="00211D94">
        <w:rPr>
          <w:rFonts w:cs="Arial"/>
          <w:szCs w:val="24"/>
        </w:rPr>
        <w:t xml:space="preserve">ealizowany przez Szpital Specjalistyczny </w:t>
      </w:r>
      <w:r w:rsidR="009442A3" w:rsidRPr="00211D94">
        <w:rPr>
          <w:rFonts w:cs="Arial"/>
          <w:szCs w:val="24"/>
        </w:rPr>
        <w:t>w</w:t>
      </w:r>
      <w:r w:rsidRPr="00211D94">
        <w:rPr>
          <w:rFonts w:cs="Arial"/>
          <w:szCs w:val="24"/>
        </w:rPr>
        <w:t xml:space="preserve"> Kościerzynie </w:t>
      </w:r>
      <w:r w:rsidR="00CD6600" w:rsidRPr="00211D94">
        <w:rPr>
          <w:rFonts w:cs="Arial"/>
          <w:szCs w:val="24"/>
        </w:rPr>
        <w:t>spółka</w:t>
      </w:r>
      <w:r w:rsidRPr="00211D94">
        <w:rPr>
          <w:rFonts w:cs="Arial"/>
          <w:szCs w:val="24"/>
        </w:rPr>
        <w:t xml:space="preserve"> z </w:t>
      </w:r>
      <w:r w:rsidR="00CD6600" w:rsidRPr="00211D94">
        <w:rPr>
          <w:rFonts w:cs="Arial"/>
          <w:szCs w:val="24"/>
        </w:rPr>
        <w:t>o.o.;</w:t>
      </w:r>
    </w:p>
    <w:p w14:paraId="1B3D75B0" w14:textId="1B522C89" w:rsidR="002578FF" w:rsidRPr="00211D94" w:rsidRDefault="00EC495B" w:rsidP="002578FF">
      <w:pPr>
        <w:pStyle w:val="Akapitzlist"/>
        <w:numPr>
          <w:ilvl w:val="0"/>
          <w:numId w:val="66"/>
        </w:numPr>
        <w:tabs>
          <w:tab w:val="left" w:pos="432"/>
        </w:tabs>
        <w:spacing w:before="120" w:after="120" w:line="276" w:lineRule="auto"/>
        <w:rPr>
          <w:rFonts w:cs="Arial"/>
          <w:szCs w:val="24"/>
        </w:rPr>
      </w:pPr>
      <w:r w:rsidRPr="00211D94">
        <w:rPr>
          <w:rFonts w:cs="Arial"/>
          <w:szCs w:val="24"/>
        </w:rPr>
        <w:t xml:space="preserve">„Poprawa dostępności do wysokiej jakości świadczeń z zakresu diagnostyki i leczenia onkologicznego w Wojewódzkim Centrum Onkologii w Gdańsku” </w:t>
      </w:r>
      <w:r w:rsidR="00F66AE2" w:rsidRPr="00211D94">
        <w:rPr>
          <w:rFonts w:cs="Arial"/>
          <w:szCs w:val="24"/>
        </w:rPr>
        <w:t xml:space="preserve">– projekt </w:t>
      </w:r>
      <w:r w:rsidRPr="00211D94">
        <w:rPr>
          <w:rFonts w:cs="Arial"/>
          <w:szCs w:val="24"/>
        </w:rPr>
        <w:t xml:space="preserve">realizowany przez COPERNICUS Podmiot Leczniczy </w:t>
      </w:r>
      <w:r w:rsidR="00CD6600" w:rsidRPr="00211D94">
        <w:rPr>
          <w:rFonts w:cs="Arial"/>
          <w:szCs w:val="24"/>
        </w:rPr>
        <w:t>spółka</w:t>
      </w:r>
      <w:r w:rsidRPr="00211D94">
        <w:rPr>
          <w:rFonts w:cs="Arial"/>
          <w:szCs w:val="24"/>
        </w:rPr>
        <w:t xml:space="preserve"> z o.o</w:t>
      </w:r>
      <w:r w:rsidR="00CD6600" w:rsidRPr="00211D94">
        <w:rPr>
          <w:rFonts w:cs="Arial"/>
          <w:szCs w:val="24"/>
        </w:rPr>
        <w:t>.</w:t>
      </w:r>
      <w:r w:rsidRPr="00211D94">
        <w:rPr>
          <w:rFonts w:cs="Arial"/>
          <w:szCs w:val="24"/>
        </w:rPr>
        <w:t xml:space="preserve"> w Gdańsku.</w:t>
      </w:r>
      <w:r w:rsidR="007C1460" w:rsidRPr="00211D94">
        <w:rPr>
          <w:rFonts w:cs="Arial"/>
          <w:szCs w:val="24"/>
        </w:rPr>
        <w:t xml:space="preserve"> </w:t>
      </w:r>
      <w:r w:rsidR="002578FF" w:rsidRPr="00211D94">
        <w:rPr>
          <w:rFonts w:cs="Arial"/>
          <w:szCs w:val="24"/>
        </w:rPr>
        <w:t xml:space="preserve">Projekt został opracowany w odpowiedzi na negatywne skutki pandemii COVID-19, przejawiające się ograniczeniem dostępności świadczeń onkologicznych i zwiększeniem liczby </w:t>
      </w:r>
      <w:proofErr w:type="spellStart"/>
      <w:r w:rsidR="002578FF" w:rsidRPr="00211D94">
        <w:rPr>
          <w:rFonts w:cs="Arial"/>
          <w:szCs w:val="24"/>
        </w:rPr>
        <w:t>zachorowań</w:t>
      </w:r>
      <w:proofErr w:type="spellEnd"/>
      <w:r w:rsidR="002578FF" w:rsidRPr="00211D94">
        <w:rPr>
          <w:rFonts w:cs="Arial"/>
          <w:szCs w:val="24"/>
        </w:rPr>
        <w:t>.</w:t>
      </w:r>
    </w:p>
    <w:p w14:paraId="1728D107" w14:textId="7177C7EB" w:rsidR="00EC495B" w:rsidRPr="00211D94" w:rsidRDefault="00E5530D" w:rsidP="002578FF">
      <w:pPr>
        <w:tabs>
          <w:tab w:val="left" w:pos="432"/>
        </w:tabs>
        <w:spacing w:before="120" w:after="120"/>
        <w:rPr>
          <w:rFonts w:cs="Arial"/>
          <w:szCs w:val="24"/>
        </w:rPr>
      </w:pPr>
      <w:r w:rsidRPr="00211D94">
        <w:rPr>
          <w:rFonts w:cs="Arial"/>
          <w:szCs w:val="24"/>
        </w:rPr>
        <w:t>W związku z powyższy</w:t>
      </w:r>
      <w:r w:rsidR="009442A3" w:rsidRPr="00211D94">
        <w:rPr>
          <w:rFonts w:cs="Arial"/>
          <w:szCs w:val="24"/>
        </w:rPr>
        <w:t>m</w:t>
      </w:r>
      <w:r w:rsidRPr="00211D94">
        <w:rPr>
          <w:rFonts w:cs="Arial"/>
          <w:szCs w:val="24"/>
        </w:rPr>
        <w:t xml:space="preserve"> wskaźnik „Liczba podmiotów wspieranych w zwalczaniu lub przeciwdziałaniu skutkom pandemii COVID-19” został osiągnięty na poziomie 100% wartości docelowej (2 szt.). Zrealizowane projekty były częścią przedsięwzięcia strategicznego pt.: „Jakość i bezpieczeństwo w podmiotach leczniczych” zdefiniowanego w RPS w zakresie bezpieczeństwa zdrowotnego i wrażliwości społecznej.</w:t>
      </w:r>
    </w:p>
    <w:p w14:paraId="7B7E9A0A" w14:textId="16B4B581" w:rsidR="001346DD" w:rsidRPr="00211D94" w:rsidRDefault="001346DD" w:rsidP="00F55865">
      <w:pPr>
        <w:tabs>
          <w:tab w:val="left" w:pos="432"/>
        </w:tabs>
        <w:spacing w:before="120" w:after="120"/>
        <w:rPr>
          <w:rFonts w:cs="Arial"/>
          <w:b/>
          <w:szCs w:val="24"/>
        </w:rPr>
      </w:pPr>
      <w:r w:rsidRPr="00211D94">
        <w:rPr>
          <w:rFonts w:cs="Arial"/>
          <w:b/>
          <w:szCs w:val="24"/>
        </w:rPr>
        <w:t>W obszarze rozwoju energii odnawialnej:</w:t>
      </w:r>
    </w:p>
    <w:p w14:paraId="2EB53E45" w14:textId="144F4F93" w:rsidR="00EC495B" w:rsidRPr="00211D94" w:rsidRDefault="00E5530D" w:rsidP="00F55865">
      <w:pPr>
        <w:tabs>
          <w:tab w:val="left" w:pos="432"/>
        </w:tabs>
        <w:spacing w:before="120" w:after="120"/>
        <w:rPr>
          <w:rFonts w:cs="Arial"/>
          <w:szCs w:val="24"/>
        </w:rPr>
      </w:pPr>
      <w:r w:rsidRPr="00211D94">
        <w:rPr>
          <w:rFonts w:cs="Arial"/>
          <w:szCs w:val="24"/>
        </w:rPr>
        <w:t>W ramach Działania 13.3</w:t>
      </w:r>
      <w:r w:rsidR="00CD6600" w:rsidRPr="00211D94">
        <w:rPr>
          <w:rFonts w:cs="Arial"/>
          <w:szCs w:val="24"/>
        </w:rPr>
        <w:t>.</w:t>
      </w:r>
      <w:r w:rsidRPr="00211D94">
        <w:rPr>
          <w:rFonts w:cs="Arial"/>
          <w:szCs w:val="24"/>
        </w:rPr>
        <w:t xml:space="preserve"> </w:t>
      </w:r>
      <w:r w:rsidR="005277B4" w:rsidRPr="00211D94">
        <w:rPr>
          <w:rFonts w:cs="Arial"/>
          <w:szCs w:val="24"/>
        </w:rPr>
        <w:t>„</w:t>
      </w:r>
      <w:r w:rsidRPr="00211D94">
        <w:rPr>
          <w:rFonts w:cs="Arial"/>
          <w:szCs w:val="24"/>
        </w:rPr>
        <w:t>Odnawialne źródła energii REACT-EU</w:t>
      </w:r>
      <w:r w:rsidR="005277B4" w:rsidRPr="00211D94">
        <w:rPr>
          <w:rFonts w:cs="Arial"/>
          <w:szCs w:val="24"/>
        </w:rPr>
        <w:t>”</w:t>
      </w:r>
      <w:r w:rsidRPr="00211D94">
        <w:rPr>
          <w:rFonts w:cs="Arial"/>
          <w:szCs w:val="24"/>
        </w:rPr>
        <w:t xml:space="preserve"> wspierane były przedsięwzięcia polegające na wykorzystaniu odnawialnych źródeł energii (słońca, wody, biomasy, biogazu, energii ziemi) w celu produkcji energii elektrycznej i/lub cieplnej (również z wykorzystaniem kogeneracji). Interwencja ukierunkowana była na przygotowanie do ekologicznej odbudowy gospodarki regionu zwiększającej jej odporność. </w:t>
      </w:r>
      <w:r w:rsidR="00716FAE" w:rsidRPr="00211D94">
        <w:rPr>
          <w:rFonts w:cs="Arial"/>
          <w:szCs w:val="24"/>
        </w:rPr>
        <w:t xml:space="preserve">W tym działaniu dofinansowano </w:t>
      </w:r>
      <w:r w:rsidRPr="00211D94">
        <w:rPr>
          <w:rFonts w:cs="Arial"/>
          <w:szCs w:val="24"/>
        </w:rPr>
        <w:t xml:space="preserve">10 projektów o wartości ogółem </w:t>
      </w:r>
      <w:r w:rsidR="006B1D66" w:rsidRPr="00211D94">
        <w:rPr>
          <w:rFonts w:cs="Arial"/>
          <w:szCs w:val="24"/>
        </w:rPr>
        <w:t>prawie 9 mln EUR</w:t>
      </w:r>
      <w:r w:rsidR="00716FAE" w:rsidRPr="00211D94">
        <w:rPr>
          <w:rFonts w:cs="Arial"/>
          <w:szCs w:val="24"/>
        </w:rPr>
        <w:t xml:space="preserve"> (</w:t>
      </w:r>
      <w:r w:rsidR="006B1D66" w:rsidRPr="00211D94">
        <w:rPr>
          <w:rFonts w:cs="Arial"/>
          <w:szCs w:val="24"/>
        </w:rPr>
        <w:t>dofinansowanie UE w wysokości 6,1 mln EUR</w:t>
      </w:r>
      <w:r w:rsidR="00716FAE" w:rsidRPr="00211D94">
        <w:rPr>
          <w:rFonts w:cs="Arial"/>
          <w:szCs w:val="24"/>
        </w:rPr>
        <w:t>)</w:t>
      </w:r>
      <w:r w:rsidR="006B1D66" w:rsidRPr="00211D94">
        <w:rPr>
          <w:rFonts w:cs="Arial"/>
          <w:szCs w:val="24"/>
        </w:rPr>
        <w:t>.</w:t>
      </w:r>
    </w:p>
    <w:p w14:paraId="7DD0805F" w14:textId="2DD7BA46" w:rsidR="00031F5B" w:rsidRPr="00211D94" w:rsidRDefault="00E5530D" w:rsidP="00F55865">
      <w:pPr>
        <w:tabs>
          <w:tab w:val="left" w:pos="432"/>
        </w:tabs>
        <w:spacing w:before="120" w:after="120"/>
        <w:rPr>
          <w:rFonts w:cs="Arial"/>
          <w:szCs w:val="24"/>
        </w:rPr>
      </w:pPr>
      <w:r w:rsidRPr="00211D94">
        <w:rPr>
          <w:rFonts w:cs="Arial"/>
          <w:szCs w:val="24"/>
        </w:rPr>
        <w:t xml:space="preserve">W wyniku realizacji interwencji, oczekiwanym rezultatem jest zwiększenie mocy zainstalowanej w źródłach OZE. Wskaźnik programowy </w:t>
      </w:r>
      <w:r w:rsidR="00D867F6" w:rsidRPr="00211D94">
        <w:rPr>
          <w:rFonts w:cs="Arial"/>
          <w:szCs w:val="24"/>
        </w:rPr>
        <w:t>„</w:t>
      </w:r>
      <w:r w:rsidRPr="00211D94">
        <w:rPr>
          <w:rFonts w:cs="Arial"/>
          <w:szCs w:val="24"/>
        </w:rPr>
        <w:t>Dodatkowa zdolność wytwarzania energii odnawialnej</w:t>
      </w:r>
      <w:r w:rsidR="00D867F6" w:rsidRPr="00211D94">
        <w:rPr>
          <w:rFonts w:cs="Arial"/>
          <w:szCs w:val="24"/>
        </w:rPr>
        <w:t>”</w:t>
      </w:r>
      <w:r w:rsidRPr="00211D94">
        <w:rPr>
          <w:rFonts w:cs="Arial"/>
          <w:szCs w:val="24"/>
        </w:rPr>
        <w:t xml:space="preserve"> osiągnął wartość 8,5 MW (283,3% wartości docelowej).</w:t>
      </w:r>
    </w:p>
    <w:p w14:paraId="68B08877" w14:textId="4BACE75C" w:rsidR="001E7BBA" w:rsidRPr="00211D94" w:rsidRDefault="001E7BBA" w:rsidP="00F55865">
      <w:pPr>
        <w:tabs>
          <w:tab w:val="left" w:pos="432"/>
        </w:tabs>
        <w:spacing w:before="120" w:after="120"/>
        <w:rPr>
          <w:rFonts w:cs="Arial"/>
          <w:szCs w:val="24"/>
        </w:rPr>
      </w:pPr>
      <w:r w:rsidRPr="00211D94">
        <w:rPr>
          <w:rFonts w:cs="Arial"/>
          <w:szCs w:val="24"/>
        </w:rPr>
        <w:t xml:space="preserve">W kontekście </w:t>
      </w:r>
      <w:r w:rsidRPr="00211D94">
        <w:rPr>
          <w:rFonts w:cs="Arial"/>
          <w:b/>
          <w:szCs w:val="24"/>
        </w:rPr>
        <w:t>wskaźników rezultatu</w:t>
      </w:r>
      <w:r w:rsidRPr="00211D94">
        <w:rPr>
          <w:rFonts w:cs="Arial"/>
          <w:szCs w:val="24"/>
        </w:rPr>
        <w:t xml:space="preserve"> dla </w:t>
      </w:r>
      <w:r w:rsidR="00D867F6" w:rsidRPr="00211D94">
        <w:rPr>
          <w:rFonts w:cs="Arial"/>
          <w:szCs w:val="24"/>
        </w:rPr>
        <w:t>OP</w:t>
      </w:r>
      <w:r w:rsidRPr="00211D94">
        <w:rPr>
          <w:rFonts w:cs="Arial"/>
          <w:szCs w:val="24"/>
        </w:rPr>
        <w:t>13 RPO WP</w:t>
      </w:r>
      <w:r w:rsidR="00D867F6" w:rsidRPr="00211D94">
        <w:rPr>
          <w:rFonts w:cs="Arial"/>
          <w:szCs w:val="24"/>
        </w:rPr>
        <w:t xml:space="preserve"> </w:t>
      </w:r>
      <w:r w:rsidRPr="00211D94">
        <w:rPr>
          <w:rFonts w:cs="Arial"/>
          <w:szCs w:val="24"/>
        </w:rPr>
        <w:t>Instytucja Zarządzająca dysponuje danymi za rok 2023. Osiągnięte wartości przedstawiają się następująco:</w:t>
      </w:r>
    </w:p>
    <w:p w14:paraId="0550FB43" w14:textId="05A69F69" w:rsidR="001E7BBA" w:rsidRPr="00211D94" w:rsidRDefault="001E7BBA" w:rsidP="00F55865">
      <w:pPr>
        <w:pStyle w:val="Akapitzlist"/>
        <w:numPr>
          <w:ilvl w:val="0"/>
          <w:numId w:val="44"/>
        </w:numPr>
        <w:tabs>
          <w:tab w:val="left" w:pos="432"/>
        </w:tabs>
        <w:spacing w:before="120" w:after="120" w:line="276" w:lineRule="auto"/>
        <w:rPr>
          <w:rFonts w:cs="Arial"/>
          <w:szCs w:val="24"/>
        </w:rPr>
      </w:pPr>
      <w:r w:rsidRPr="00211D94">
        <w:rPr>
          <w:rFonts w:cs="Arial"/>
          <w:szCs w:val="24"/>
        </w:rPr>
        <w:t xml:space="preserve">Liczba wyrejestrowanych podmiotów gospodarczych na 100 podmiotów gospodarczych – 4,7 szt., przy wartości docelowej </w:t>
      </w:r>
      <w:r w:rsidR="00D114C5" w:rsidRPr="00211D94">
        <w:rPr>
          <w:rFonts w:cs="Arial"/>
          <w:szCs w:val="24"/>
        </w:rPr>
        <w:t>3,8</w:t>
      </w:r>
      <w:r w:rsidRPr="00211D94">
        <w:rPr>
          <w:rFonts w:cs="Arial"/>
          <w:szCs w:val="24"/>
        </w:rPr>
        <w:t xml:space="preserve"> szt.;</w:t>
      </w:r>
    </w:p>
    <w:p w14:paraId="0E18D753" w14:textId="272410EE" w:rsidR="001E7BBA" w:rsidRPr="00211D94" w:rsidRDefault="001E7BBA" w:rsidP="00F55865">
      <w:pPr>
        <w:pStyle w:val="Akapitzlist"/>
        <w:numPr>
          <w:ilvl w:val="0"/>
          <w:numId w:val="44"/>
        </w:numPr>
        <w:tabs>
          <w:tab w:val="left" w:pos="432"/>
        </w:tabs>
        <w:spacing w:before="120" w:after="120" w:line="276" w:lineRule="auto"/>
        <w:rPr>
          <w:rFonts w:cs="Arial"/>
          <w:szCs w:val="24"/>
        </w:rPr>
      </w:pPr>
      <w:r w:rsidRPr="00211D94">
        <w:rPr>
          <w:rFonts w:cs="Arial"/>
          <w:szCs w:val="24"/>
        </w:rPr>
        <w:t>Liczba ambulatoryjnych świadczeń rehabilitacyjnych zrealizowanych w podmiotach objętych wsparciem – 1 997 szt., wobec wartości docelowej 1 922 szt.;</w:t>
      </w:r>
    </w:p>
    <w:p w14:paraId="005B30AA" w14:textId="0B466883" w:rsidR="001E7BBA" w:rsidRPr="00211D94" w:rsidRDefault="001E7BBA" w:rsidP="00F55865">
      <w:pPr>
        <w:pStyle w:val="Akapitzlist"/>
        <w:numPr>
          <w:ilvl w:val="0"/>
          <w:numId w:val="44"/>
        </w:numPr>
        <w:tabs>
          <w:tab w:val="left" w:pos="432"/>
        </w:tabs>
        <w:spacing w:before="120" w:after="120" w:line="276" w:lineRule="auto"/>
        <w:rPr>
          <w:rFonts w:cs="Arial"/>
          <w:szCs w:val="24"/>
        </w:rPr>
      </w:pPr>
      <w:r w:rsidRPr="00211D94">
        <w:rPr>
          <w:rFonts w:cs="Arial"/>
          <w:szCs w:val="24"/>
        </w:rPr>
        <w:t>Liczba ambulatoryjnych świadczeń zdrowotnych w zakresie onkologii zrealizowanych w podmiotach objętych wsparciem – 111 816 szt., przy wartości docelowej 121 542 szt.;</w:t>
      </w:r>
    </w:p>
    <w:p w14:paraId="737F8138" w14:textId="77777777" w:rsidR="001E7BBA" w:rsidRPr="00211D94" w:rsidRDefault="001E7BBA" w:rsidP="00F55865">
      <w:pPr>
        <w:pStyle w:val="Akapitzlist"/>
        <w:numPr>
          <w:ilvl w:val="0"/>
          <w:numId w:val="44"/>
        </w:numPr>
        <w:tabs>
          <w:tab w:val="left" w:pos="432"/>
        </w:tabs>
        <w:spacing w:before="120" w:after="120" w:line="276" w:lineRule="auto"/>
        <w:rPr>
          <w:rFonts w:cs="Arial"/>
          <w:szCs w:val="24"/>
        </w:rPr>
      </w:pPr>
      <w:r w:rsidRPr="00211D94">
        <w:rPr>
          <w:rFonts w:cs="Arial"/>
          <w:szCs w:val="24"/>
        </w:rPr>
        <w:t>Udział energii ze źródeł odnawialnych w końcowym zużyciu energii brutto – 49,15%, przy wartości docelowej 28,0%.</w:t>
      </w:r>
    </w:p>
    <w:p w14:paraId="3FACA4FF" w14:textId="0C641CEF" w:rsidR="001E7BBA" w:rsidRPr="00211D94" w:rsidRDefault="001E7BBA" w:rsidP="00F55865">
      <w:pPr>
        <w:tabs>
          <w:tab w:val="left" w:pos="432"/>
        </w:tabs>
        <w:spacing w:before="120" w:after="120"/>
        <w:rPr>
          <w:rFonts w:cs="Arial"/>
          <w:szCs w:val="24"/>
        </w:rPr>
      </w:pPr>
      <w:r w:rsidRPr="00211D94">
        <w:rPr>
          <w:rFonts w:cs="Arial"/>
          <w:szCs w:val="24"/>
        </w:rPr>
        <w:t xml:space="preserve">Wysoki udział energii ze źródeł odnawialnych (49,15%) jest jednym z </w:t>
      </w:r>
      <w:r w:rsidR="00D867F6" w:rsidRPr="00211D94">
        <w:rPr>
          <w:rFonts w:cs="Arial"/>
          <w:szCs w:val="24"/>
        </w:rPr>
        <w:t>n</w:t>
      </w:r>
      <w:r w:rsidRPr="00211D94">
        <w:rPr>
          <w:rFonts w:cs="Arial"/>
          <w:szCs w:val="24"/>
        </w:rPr>
        <w:t>ajważniejszych sukcesów regionu – Pomorze znacząco wyprzedziło cel, potwierdzając swoją pozycję lidera w obszarze transformacji energetycznej. Wysoki poziom inwestycji w odnawialne źródła energii stanowi efekt zarówno wsparcia unijnego, jak i rosnącej świadomości ekologicznej.</w:t>
      </w:r>
    </w:p>
    <w:p w14:paraId="5E1A6B9B" w14:textId="32AF0202" w:rsidR="001E7BBA" w:rsidRPr="00211D94" w:rsidRDefault="001E7BBA" w:rsidP="00F55865">
      <w:pPr>
        <w:tabs>
          <w:tab w:val="left" w:pos="432"/>
        </w:tabs>
        <w:spacing w:before="120" w:after="120"/>
        <w:rPr>
          <w:rFonts w:cs="Arial"/>
          <w:szCs w:val="24"/>
        </w:rPr>
      </w:pPr>
      <w:r w:rsidRPr="00211D94">
        <w:rPr>
          <w:rFonts w:cs="Arial"/>
          <w:szCs w:val="24"/>
        </w:rPr>
        <w:t>Wskaźniki dotyczące świadczeń rehabilitacyjnych i onkologicznych potwierdzają wzrost dostępności usług zdrowotnych w placówkach objętych wsparciem RPO WP, mimo utrzymujących się skutków pandemii COVID-19 oraz obciążeń systemu ochrony zdrowia wynikających z agresji Rosji na Ukrainę.</w:t>
      </w:r>
    </w:p>
    <w:p w14:paraId="0E44038E" w14:textId="3EDA3235" w:rsidR="001E7BBA" w:rsidRPr="00211D94" w:rsidRDefault="001E7BBA" w:rsidP="00F55865">
      <w:pPr>
        <w:tabs>
          <w:tab w:val="left" w:pos="432"/>
        </w:tabs>
        <w:spacing w:before="120" w:after="120"/>
        <w:rPr>
          <w:rFonts w:cs="Arial"/>
          <w:szCs w:val="24"/>
        </w:rPr>
      </w:pPr>
      <w:r w:rsidRPr="00211D94">
        <w:rPr>
          <w:rFonts w:cs="Arial"/>
          <w:szCs w:val="24"/>
        </w:rPr>
        <w:t xml:space="preserve">Wskaźnik dotyczący liczby wyrejestrowanych podmiotów gospodarczych (4,7 wobec </w:t>
      </w:r>
      <w:r w:rsidR="000445D2" w:rsidRPr="00211D94">
        <w:rPr>
          <w:rFonts w:cs="Arial"/>
          <w:szCs w:val="24"/>
        </w:rPr>
        <w:t>3,8</w:t>
      </w:r>
      <w:r w:rsidRPr="00211D94">
        <w:rPr>
          <w:rFonts w:cs="Arial"/>
          <w:szCs w:val="24"/>
        </w:rPr>
        <w:t>) nieznacznie przekracza wartość docelową, co może odzwierciedlać pogorszenie koniunktury gospodarczej po okresie pandemii i wzrost kosztów prowadzenia działalności w warunkach niepewności geopolitycznej oraz inflacyjnej.</w:t>
      </w:r>
    </w:p>
    <w:p w14:paraId="624904CC" w14:textId="08DE6A3D" w:rsidR="00211D94" w:rsidRDefault="002578FF" w:rsidP="00F55865">
      <w:pPr>
        <w:tabs>
          <w:tab w:val="left" w:pos="432"/>
        </w:tabs>
        <w:spacing w:before="120" w:after="120"/>
        <w:rPr>
          <w:rFonts w:cs="Arial"/>
          <w:szCs w:val="24"/>
        </w:rPr>
      </w:pPr>
      <w:r w:rsidRPr="00211D94">
        <w:rPr>
          <w:rFonts w:cs="Arial"/>
          <w:szCs w:val="24"/>
        </w:rPr>
        <w:t>Pomimo tych wyzwań, postęp w realizacji celów dla OP13 należy ocenić pozytywnie, a</w:t>
      </w:r>
      <w:r w:rsidR="001E7BBA" w:rsidRPr="00211D94">
        <w:rPr>
          <w:rFonts w:cs="Arial"/>
          <w:szCs w:val="24"/>
        </w:rPr>
        <w:t xml:space="preserve"> wyniki w obszarach zdrowia i energetyki wskazują na trwałe efekty interwencji publicznych.</w:t>
      </w:r>
    </w:p>
    <w:p w14:paraId="2816AC58" w14:textId="708E37A2" w:rsidR="001E7BBA" w:rsidRPr="00211D94" w:rsidRDefault="00211D94" w:rsidP="00211D94">
      <w:pPr>
        <w:spacing w:after="0" w:line="240" w:lineRule="auto"/>
        <w:rPr>
          <w:rFonts w:cs="Arial"/>
          <w:szCs w:val="24"/>
        </w:rPr>
      </w:pPr>
      <w:r>
        <w:rPr>
          <w:rFonts w:cs="Arial"/>
          <w:szCs w:val="24"/>
        </w:rPr>
        <w:br w:type="page"/>
      </w:r>
    </w:p>
    <w:p w14:paraId="59AF25B4" w14:textId="24260E90" w:rsidR="007D0568" w:rsidRPr="00211D94" w:rsidRDefault="007D0568" w:rsidP="00F55865">
      <w:pPr>
        <w:pStyle w:val="Nagwek2"/>
        <w:spacing w:before="120" w:after="120"/>
        <w:rPr>
          <w:rFonts w:cs="Arial"/>
          <w:color w:val="FFFFFF" w:themeColor="background1"/>
          <w:sz w:val="24"/>
          <w:szCs w:val="24"/>
        </w:rPr>
      </w:pPr>
      <w:bookmarkStart w:id="173" w:name="_Toc214025294"/>
      <w:r w:rsidRPr="00211D94">
        <w:rPr>
          <w:rFonts w:eastAsia="Calibri" w:cs="Arial"/>
          <w:color w:val="FFFFFF" w:themeColor="background1"/>
          <w:sz w:val="24"/>
          <w:szCs w:val="24"/>
        </w:rPr>
        <w:t>OP14. INTEGRACJA IMIGRANTÓW</w:t>
      </w:r>
      <w:bookmarkEnd w:id="173"/>
    </w:p>
    <w:tbl>
      <w:tblPr>
        <w:tblW w:w="0" w:type="auto"/>
        <w:tblLook w:val="04A0" w:firstRow="1" w:lastRow="0" w:firstColumn="1" w:lastColumn="0" w:noHBand="0" w:noVBand="1"/>
      </w:tblPr>
      <w:tblGrid>
        <w:gridCol w:w="1806"/>
        <w:gridCol w:w="7266"/>
      </w:tblGrid>
      <w:tr w:rsidR="00BC3953" w:rsidRPr="00211D94" w14:paraId="077611F5" w14:textId="77777777" w:rsidTr="00BC3953">
        <w:tc>
          <w:tcPr>
            <w:tcW w:w="1544" w:type="dxa"/>
            <w:shd w:val="clear" w:color="auto" w:fill="auto"/>
          </w:tcPr>
          <w:p w14:paraId="16C734B0" w14:textId="25FF39BA" w:rsidR="00BC3953" w:rsidRPr="00211D94" w:rsidRDefault="00BC3953" w:rsidP="00BC3953">
            <w:pPr>
              <w:spacing w:before="120" w:after="120"/>
              <w:rPr>
                <w:rFonts w:cs="Arial"/>
                <w:b/>
                <w:color w:val="538135"/>
                <w:szCs w:val="24"/>
              </w:rPr>
            </w:pPr>
            <w:r w:rsidRPr="00211D94">
              <w:rPr>
                <w:rFonts w:cs="Arial"/>
                <w:b/>
                <w:noProof/>
                <w:color w:val="538135"/>
                <w:szCs w:val="24"/>
              </w:rPr>
              <w:drawing>
                <wp:inline distT="0" distB="0" distL="0" distR="0" wp14:anchorId="4B564F9D" wp14:editId="3A68017F">
                  <wp:extent cx="1009791" cy="885949"/>
                  <wp:effectExtent l="0" t="0" r="0" b="9525"/>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09791" cy="885949"/>
                          </a:xfrm>
                          <a:prstGeom prst="rect">
                            <a:avLst/>
                          </a:prstGeom>
                        </pic:spPr>
                      </pic:pic>
                    </a:graphicData>
                  </a:graphic>
                </wp:inline>
              </w:drawing>
            </w:r>
          </w:p>
        </w:tc>
        <w:tc>
          <w:tcPr>
            <w:tcW w:w="7528" w:type="dxa"/>
            <w:shd w:val="clear" w:color="auto" w:fill="auto"/>
          </w:tcPr>
          <w:p w14:paraId="733D0858" w14:textId="13829A6C" w:rsidR="00BC3953" w:rsidRPr="00211D94" w:rsidRDefault="00BC3953" w:rsidP="00BC3953">
            <w:pPr>
              <w:tabs>
                <w:tab w:val="left" w:pos="432"/>
              </w:tabs>
              <w:spacing w:before="120" w:after="120"/>
              <w:rPr>
                <w:rFonts w:cs="Arial"/>
                <w:szCs w:val="24"/>
                <w:lang w:eastAsia="pl-PL"/>
              </w:rPr>
            </w:pPr>
            <w:r w:rsidRPr="00211D94">
              <w:rPr>
                <w:rFonts w:cs="Arial"/>
                <w:szCs w:val="24"/>
                <w:lang w:eastAsia="pl-PL"/>
              </w:rPr>
              <w:t xml:space="preserve">W ramach OP14 realizowane były działania ukierunkowane na realizowanie instrumentów włączenia i aktywizacji społecznej, zawodowej, edukacyjnej, kulturalnej oraz zdrowotnej imigrantów przebywających na terenie województwa pomorskiego </w:t>
            </w:r>
            <w:r w:rsidRPr="00211D94">
              <w:rPr>
                <w:rFonts w:cs="Arial"/>
                <w:szCs w:val="24"/>
                <w:lang w:eastAsia="pl-PL"/>
              </w:rPr>
              <w:br/>
              <w:t>w związku z działaniami wojennymi w Ukrainie.</w:t>
            </w:r>
          </w:p>
        </w:tc>
      </w:tr>
    </w:tbl>
    <w:p w14:paraId="0542C97C" w14:textId="38056F30" w:rsidR="00214BA9" w:rsidRPr="00211D94" w:rsidRDefault="00214BA9" w:rsidP="00F55865">
      <w:pPr>
        <w:tabs>
          <w:tab w:val="left" w:pos="432"/>
        </w:tabs>
        <w:spacing w:before="120" w:after="120"/>
        <w:rPr>
          <w:rFonts w:cs="Arial"/>
          <w:szCs w:val="24"/>
          <w:lang w:eastAsia="pl-PL"/>
        </w:rPr>
      </w:pPr>
      <w:r w:rsidRPr="00211D94">
        <w:rPr>
          <w:rFonts w:cs="Arial"/>
          <w:szCs w:val="24"/>
          <w:lang w:eastAsia="pl-PL"/>
        </w:rPr>
        <w:t>Rok 2022 r. postawił przed IZ RPO WP wyzwanie związane z pomocą obywatelom Ukrainy w związku z konfliktem zbrojnym na terytorium tego państwa. IZ RPO WP, biorąc pod uwagę sytuację nadzwyczajną</w:t>
      </w:r>
      <w:r w:rsidR="00F859C6" w:rsidRPr="00211D94">
        <w:rPr>
          <w:rFonts w:cs="Arial"/>
          <w:szCs w:val="24"/>
          <w:lang w:eastAsia="pl-PL"/>
        </w:rPr>
        <w:t xml:space="preserve"> </w:t>
      </w:r>
      <w:r w:rsidRPr="00211D94">
        <w:rPr>
          <w:rFonts w:cs="Arial"/>
          <w:szCs w:val="24"/>
          <w:lang w:eastAsia="pl-PL"/>
        </w:rPr>
        <w:t>podjęła działania służące wsparciu migrantów, którzy przebywają na terenie województwa pomorskiego w związku z konfliktem zbrojnym na terytorium Ukrainy. Została wprowadzona do Programu nowa oś priorytetowa – OP14</w:t>
      </w:r>
      <w:r w:rsidR="00CD6600" w:rsidRPr="00211D94">
        <w:rPr>
          <w:rFonts w:cs="Arial"/>
          <w:szCs w:val="24"/>
          <w:lang w:eastAsia="pl-PL"/>
        </w:rPr>
        <w:t>.</w:t>
      </w:r>
      <w:r w:rsidRPr="00211D94">
        <w:rPr>
          <w:rFonts w:cs="Arial"/>
          <w:szCs w:val="24"/>
          <w:lang w:eastAsia="pl-PL"/>
        </w:rPr>
        <w:t xml:space="preserve"> </w:t>
      </w:r>
      <w:r w:rsidR="005277B4" w:rsidRPr="00211D94">
        <w:rPr>
          <w:rFonts w:cs="Arial"/>
          <w:szCs w:val="24"/>
          <w:lang w:eastAsia="pl-PL"/>
        </w:rPr>
        <w:t>„</w:t>
      </w:r>
      <w:r w:rsidRPr="00211D94">
        <w:rPr>
          <w:rFonts w:cs="Arial"/>
          <w:szCs w:val="24"/>
          <w:lang w:eastAsia="pl-PL"/>
        </w:rPr>
        <w:t>Integracja imigrantów</w:t>
      </w:r>
      <w:r w:rsidR="005277B4" w:rsidRPr="00211D94">
        <w:rPr>
          <w:rFonts w:cs="Arial"/>
          <w:szCs w:val="24"/>
          <w:lang w:eastAsia="pl-PL"/>
        </w:rPr>
        <w:t>”</w:t>
      </w:r>
      <w:r w:rsidRPr="00211D94">
        <w:rPr>
          <w:rFonts w:cs="Arial"/>
          <w:szCs w:val="24"/>
          <w:lang w:eastAsia="pl-PL"/>
        </w:rPr>
        <w:t xml:space="preserve"> (decyzja wykonawcza KE nr C(2021) 9764 z dnia 18 lipca 2022 r.)</w:t>
      </w:r>
      <w:r w:rsidR="00F859C6" w:rsidRPr="00211D94">
        <w:rPr>
          <w:rFonts w:cs="Arial"/>
          <w:szCs w:val="24"/>
          <w:lang w:eastAsia="pl-PL"/>
        </w:rPr>
        <w:t>, której</w:t>
      </w:r>
      <w:r w:rsidR="00214AC4" w:rsidRPr="00211D94">
        <w:rPr>
          <w:rFonts w:cs="Arial"/>
          <w:szCs w:val="24"/>
          <w:lang w:eastAsia="pl-PL"/>
        </w:rPr>
        <w:t xml:space="preserve"> zasob</w:t>
      </w:r>
      <w:r w:rsidR="002E298C" w:rsidRPr="00211D94">
        <w:rPr>
          <w:rFonts w:cs="Arial"/>
          <w:szCs w:val="24"/>
          <w:lang w:eastAsia="pl-PL"/>
        </w:rPr>
        <w:t>y</w:t>
      </w:r>
      <w:r w:rsidR="00214AC4" w:rsidRPr="00211D94">
        <w:rPr>
          <w:rFonts w:cs="Arial"/>
          <w:szCs w:val="24"/>
          <w:lang w:eastAsia="pl-PL"/>
        </w:rPr>
        <w:t xml:space="preserve"> finansowe</w:t>
      </w:r>
      <w:r w:rsidR="00F859C6" w:rsidRPr="00211D94">
        <w:rPr>
          <w:rFonts w:cs="Arial"/>
          <w:szCs w:val="24"/>
          <w:lang w:eastAsia="pl-PL"/>
        </w:rPr>
        <w:t xml:space="preserve"> pochodz</w:t>
      </w:r>
      <w:r w:rsidR="00214AC4" w:rsidRPr="00211D94">
        <w:rPr>
          <w:rFonts w:cs="Arial"/>
          <w:szCs w:val="24"/>
          <w:lang w:eastAsia="pl-PL"/>
        </w:rPr>
        <w:t>ą</w:t>
      </w:r>
      <w:r w:rsidR="00F859C6" w:rsidRPr="00211D94">
        <w:rPr>
          <w:rFonts w:cs="Arial"/>
          <w:szCs w:val="24"/>
          <w:lang w:eastAsia="pl-PL"/>
        </w:rPr>
        <w:t xml:space="preserve"> z </w:t>
      </w:r>
      <w:r w:rsidR="00F859C6" w:rsidRPr="00211D94">
        <w:rPr>
          <w:rFonts w:cs="Arial"/>
          <w:szCs w:val="24"/>
        </w:rPr>
        <w:t>realokacji środków EFS z osi priorytetowych 3 „Edukacja”, 5 „Zatrudnienie” i 6 „Integracja”</w:t>
      </w:r>
      <w:r w:rsidR="002B4E16" w:rsidRPr="00211D94">
        <w:rPr>
          <w:rFonts w:cs="Arial"/>
          <w:szCs w:val="24"/>
        </w:rPr>
        <w:t xml:space="preserve"> RPO WP.</w:t>
      </w:r>
    </w:p>
    <w:p w14:paraId="6B2062A5" w14:textId="1C98BA01" w:rsidR="00F21B81" w:rsidRPr="00211D94" w:rsidRDefault="00F21B81" w:rsidP="00F21B81">
      <w:pPr>
        <w:tabs>
          <w:tab w:val="left" w:pos="432"/>
        </w:tabs>
        <w:spacing w:before="120" w:after="120"/>
        <w:rPr>
          <w:rFonts w:cs="Arial"/>
          <w:szCs w:val="24"/>
        </w:rPr>
      </w:pPr>
      <w:r w:rsidRPr="00211D94">
        <w:rPr>
          <w:rFonts w:cs="Arial"/>
          <w:szCs w:val="24"/>
        </w:rPr>
        <w:t>Charakterystyka i wnioski</w:t>
      </w:r>
      <w:r w:rsidR="005277B4" w:rsidRPr="00211D94">
        <w:rPr>
          <w:rFonts w:cs="Arial"/>
          <w:szCs w:val="24"/>
        </w:rPr>
        <w:t>:</w:t>
      </w:r>
    </w:p>
    <w:p w14:paraId="2A24829E" w14:textId="3A797595" w:rsidR="00815649" w:rsidRPr="00211D94" w:rsidRDefault="00815649" w:rsidP="00815649">
      <w:pPr>
        <w:spacing w:before="120" w:after="120"/>
        <w:rPr>
          <w:rFonts w:eastAsia="Times New Roman" w:cs="Arial"/>
          <w:szCs w:val="24"/>
          <w:lang w:eastAsia="pl-PL"/>
        </w:rPr>
      </w:pPr>
      <w:r w:rsidRPr="00211D94">
        <w:rPr>
          <w:rFonts w:eastAsia="Times New Roman" w:cs="Arial"/>
          <w:szCs w:val="24"/>
          <w:lang w:eastAsia="pl-PL"/>
        </w:rPr>
        <w:t xml:space="preserve">IZ RPO zobowiązana jest do poinformowania w końcowym sprawozdaniu z wdrażania o spełnieniu warunku określonego w art. 98 ust. 4 akapit czwarty </w:t>
      </w:r>
      <w:r w:rsidRPr="00211D94">
        <w:rPr>
          <w:rFonts w:cs="Arial"/>
          <w:szCs w:val="24"/>
        </w:rPr>
        <w:t>rozporządzenia</w:t>
      </w:r>
      <w:r w:rsidRPr="00211D94">
        <w:rPr>
          <w:rFonts w:cs="Arial"/>
        </w:rPr>
        <w:t xml:space="preserve"> ogólnego</w:t>
      </w:r>
      <w:r w:rsidRPr="00211D94">
        <w:rPr>
          <w:rFonts w:eastAsia="Times New Roman" w:cs="Arial"/>
          <w:szCs w:val="24"/>
          <w:lang w:eastAsia="pl-PL"/>
        </w:rPr>
        <w:t xml:space="preserve">. Zgodnie z tym warunkiem, w przypadku gdy program ma odrębną oś priorytetową dedykowaną finansowaniu operacji służących sprostaniu wyzwaniom migracyjnym wynikającym z agresji wojskowej ze strony Federacji Rosyjskiej z wykorzystaniem elastyczności przewidzianej w art. 98 ust. 4 akapit pierwszy i drugi </w:t>
      </w:r>
      <w:r w:rsidRPr="00211D94">
        <w:rPr>
          <w:rFonts w:cs="Arial"/>
          <w:szCs w:val="24"/>
        </w:rPr>
        <w:t>rozporządzenia</w:t>
      </w:r>
      <w:r w:rsidRPr="00211D94">
        <w:rPr>
          <w:rFonts w:cs="Arial"/>
        </w:rPr>
        <w:t xml:space="preserve"> ogólnego</w:t>
      </w:r>
      <w:r w:rsidRPr="00211D94">
        <w:rPr>
          <w:rFonts w:eastAsia="Times New Roman" w:cs="Arial"/>
          <w:szCs w:val="24"/>
          <w:lang w:eastAsia="pl-PL"/>
        </w:rPr>
        <w:t xml:space="preserve">, co najmniej 30 % alokacji finansowej tej osi priorytetowej przeznacza się na operacje, w których beneficjentami są władze lokalne i organizacje społeczeństwa obywatelskiego działające w społecznościach lokalnych. </w:t>
      </w:r>
      <w:bookmarkStart w:id="174" w:name="_Hlk212465186"/>
      <w:r w:rsidRPr="00211D94">
        <w:rPr>
          <w:rFonts w:eastAsia="Times New Roman" w:cs="Arial"/>
          <w:szCs w:val="24"/>
          <w:lang w:eastAsia="pl-PL"/>
        </w:rPr>
        <w:t>Cała alokacja przeznaczona na OP14 RPO została wykorzystana na realizację trzech projektów wdrażanych przez beneficjenta reprezentującego władze lokalne - Samorząd Województwa Pomorskiego we współpracy z organizacjami społeczeństwa obywatelskiego.</w:t>
      </w:r>
      <w:bookmarkEnd w:id="174"/>
    </w:p>
    <w:p w14:paraId="6E385A42" w14:textId="7AA6AB66" w:rsidR="00214BA9" w:rsidRPr="00211D94" w:rsidRDefault="00214BA9" w:rsidP="00F55865">
      <w:pPr>
        <w:tabs>
          <w:tab w:val="left" w:pos="432"/>
        </w:tabs>
        <w:spacing w:before="120" w:after="120"/>
        <w:rPr>
          <w:rFonts w:cs="Arial"/>
          <w:szCs w:val="24"/>
          <w:lang w:eastAsia="pl-PL"/>
        </w:rPr>
      </w:pPr>
      <w:r w:rsidRPr="00211D94">
        <w:rPr>
          <w:rFonts w:cs="Arial"/>
          <w:szCs w:val="24"/>
          <w:lang w:eastAsia="pl-PL"/>
        </w:rPr>
        <w:t>W ramach OP14</w:t>
      </w:r>
      <w:r w:rsidR="008149BD" w:rsidRPr="00211D94">
        <w:rPr>
          <w:rFonts w:cs="Arial"/>
          <w:szCs w:val="24"/>
          <w:lang w:eastAsia="pl-PL"/>
        </w:rPr>
        <w:t>.</w:t>
      </w:r>
      <w:r w:rsidRPr="00211D94">
        <w:rPr>
          <w:rFonts w:cs="Arial"/>
          <w:szCs w:val="24"/>
          <w:lang w:eastAsia="pl-PL"/>
        </w:rPr>
        <w:t xml:space="preserve"> </w:t>
      </w:r>
      <w:r w:rsidR="005277B4" w:rsidRPr="00211D94">
        <w:rPr>
          <w:rFonts w:cs="Arial"/>
          <w:szCs w:val="24"/>
          <w:lang w:eastAsia="pl-PL"/>
        </w:rPr>
        <w:t>„</w:t>
      </w:r>
      <w:r w:rsidRPr="00211D94">
        <w:rPr>
          <w:rFonts w:cs="Arial"/>
          <w:szCs w:val="24"/>
          <w:lang w:eastAsia="pl-PL"/>
        </w:rPr>
        <w:t>Integracja Imigrantów</w:t>
      </w:r>
      <w:r w:rsidR="005277B4" w:rsidRPr="00211D94">
        <w:rPr>
          <w:rFonts w:cs="Arial"/>
          <w:szCs w:val="24"/>
          <w:lang w:eastAsia="pl-PL"/>
        </w:rPr>
        <w:t>”</w:t>
      </w:r>
      <w:r w:rsidRPr="00211D94">
        <w:rPr>
          <w:rFonts w:cs="Arial"/>
          <w:szCs w:val="24"/>
          <w:lang w:eastAsia="pl-PL"/>
        </w:rPr>
        <w:t xml:space="preserve"> zawarto </w:t>
      </w:r>
      <w:r w:rsidRPr="00211D94">
        <w:rPr>
          <w:rFonts w:cs="Arial"/>
          <w:b/>
          <w:szCs w:val="24"/>
          <w:lang w:eastAsia="pl-PL"/>
        </w:rPr>
        <w:t xml:space="preserve">3 </w:t>
      </w:r>
      <w:r w:rsidRPr="00211D94">
        <w:rPr>
          <w:rFonts w:cs="Arial"/>
          <w:szCs w:val="24"/>
          <w:lang w:eastAsia="pl-PL"/>
        </w:rPr>
        <w:t xml:space="preserve">umowy na kwotę </w:t>
      </w:r>
      <w:r w:rsidRPr="00211D94">
        <w:rPr>
          <w:rFonts w:cs="Arial"/>
          <w:b/>
          <w:szCs w:val="24"/>
          <w:lang w:eastAsia="pl-PL"/>
        </w:rPr>
        <w:t>7 060 744 EUR</w:t>
      </w:r>
      <w:r w:rsidRPr="00211D94">
        <w:rPr>
          <w:rFonts w:cs="Arial"/>
          <w:szCs w:val="24"/>
          <w:lang w:eastAsia="pl-PL"/>
        </w:rPr>
        <w:t xml:space="preserve">, w tym dofinansowanie UE </w:t>
      </w:r>
      <w:r w:rsidRPr="00211D94">
        <w:rPr>
          <w:rFonts w:cs="Arial"/>
          <w:b/>
          <w:szCs w:val="24"/>
          <w:lang w:eastAsia="pl-PL"/>
        </w:rPr>
        <w:t>6 001 633 EUR</w:t>
      </w:r>
      <w:r w:rsidRPr="00211D94">
        <w:rPr>
          <w:rFonts w:cs="Arial"/>
          <w:szCs w:val="24"/>
          <w:lang w:eastAsia="pl-PL"/>
        </w:rPr>
        <w:t xml:space="preserve">. Tym samym kontraktacja w tej Osi została osiągnięta na </w:t>
      </w:r>
      <w:r w:rsidR="009F5C37" w:rsidRPr="00211D94">
        <w:rPr>
          <w:rFonts w:cs="Arial"/>
          <w:b/>
          <w:szCs w:val="24"/>
          <w:lang w:eastAsia="pl-PL"/>
        </w:rPr>
        <w:t>110,3</w:t>
      </w:r>
      <w:r w:rsidRPr="00211D94">
        <w:rPr>
          <w:rFonts w:cs="Arial"/>
          <w:b/>
          <w:szCs w:val="24"/>
          <w:lang w:eastAsia="pl-PL"/>
        </w:rPr>
        <w:t>%</w:t>
      </w:r>
      <w:r w:rsidRPr="00211D94">
        <w:rPr>
          <w:rFonts w:cs="Arial"/>
          <w:szCs w:val="24"/>
          <w:lang w:eastAsia="pl-PL"/>
        </w:rPr>
        <w:t xml:space="preserve"> alokacji przeznaczonej na realizację OP14</w:t>
      </w:r>
      <w:r w:rsidR="00E017CE" w:rsidRPr="00211D94">
        <w:rPr>
          <w:rFonts w:cs="Arial"/>
          <w:szCs w:val="24"/>
          <w:lang w:eastAsia="pl-PL"/>
        </w:rPr>
        <w:t xml:space="preserve"> i została przeznaczona na realizację trzech projektów wdrażanych przez beneficjenta reprezentującego władze lokalne - Samorząd Województwa Pomorskiego, w tym projekt „Pomorskie z Unią”, który był realizowany we współpracy z organizacjami społeczeństwa obywatelskiego.</w:t>
      </w:r>
    </w:p>
    <w:p w14:paraId="02EB895F" w14:textId="10C0BB6A" w:rsidR="00214BA9" w:rsidRPr="00211D94" w:rsidRDefault="00214BA9" w:rsidP="00F55865">
      <w:pPr>
        <w:tabs>
          <w:tab w:val="left" w:pos="432"/>
        </w:tabs>
        <w:spacing w:before="120" w:after="120"/>
        <w:rPr>
          <w:rFonts w:cs="Arial"/>
          <w:szCs w:val="24"/>
          <w:lang w:eastAsia="pl-PL"/>
        </w:rPr>
      </w:pPr>
      <w:r w:rsidRPr="00211D94">
        <w:rPr>
          <w:rFonts w:cs="Arial"/>
          <w:szCs w:val="24"/>
          <w:lang w:eastAsia="pl-PL"/>
        </w:rPr>
        <w:t xml:space="preserve">Uruchomiono 3 projekty w trybie nadzwyczajnym w ramach Działania 14.1. </w:t>
      </w:r>
      <w:r w:rsidR="005277B4" w:rsidRPr="00211D94">
        <w:rPr>
          <w:rFonts w:cs="Arial"/>
          <w:szCs w:val="24"/>
          <w:lang w:eastAsia="pl-PL"/>
        </w:rPr>
        <w:t>„</w:t>
      </w:r>
      <w:r w:rsidRPr="00211D94">
        <w:rPr>
          <w:rFonts w:cs="Arial"/>
          <w:szCs w:val="24"/>
          <w:lang w:eastAsia="pl-PL"/>
        </w:rPr>
        <w:t>Integracja imigrantów</w:t>
      </w:r>
      <w:r w:rsidR="005277B4" w:rsidRPr="00211D94">
        <w:rPr>
          <w:rFonts w:cs="Arial"/>
          <w:szCs w:val="24"/>
          <w:lang w:eastAsia="pl-PL"/>
        </w:rPr>
        <w:t>”</w:t>
      </w:r>
      <w:r w:rsidRPr="00211D94">
        <w:rPr>
          <w:rFonts w:cs="Arial"/>
          <w:szCs w:val="24"/>
          <w:lang w:eastAsia="pl-PL"/>
        </w:rPr>
        <w:t xml:space="preserve"> (PI 9i):</w:t>
      </w:r>
    </w:p>
    <w:p w14:paraId="095969C7" w14:textId="16CB5EA0" w:rsidR="0061715C" w:rsidRPr="00211D94" w:rsidRDefault="00214BA9" w:rsidP="0061715C">
      <w:pPr>
        <w:pStyle w:val="Akapitzlist"/>
        <w:numPr>
          <w:ilvl w:val="0"/>
          <w:numId w:val="87"/>
        </w:numPr>
        <w:spacing w:before="120" w:after="120" w:line="276" w:lineRule="auto"/>
        <w:ind w:left="714" w:hanging="357"/>
        <w:contextualSpacing w:val="0"/>
        <w:rPr>
          <w:rFonts w:cs="Arial"/>
          <w:szCs w:val="24"/>
          <w:lang w:eastAsia="pl-PL"/>
        </w:rPr>
      </w:pPr>
      <w:r w:rsidRPr="00211D94">
        <w:rPr>
          <w:rFonts w:cs="Arial"/>
          <w:szCs w:val="24"/>
          <w:lang w:eastAsia="pl-PL"/>
        </w:rPr>
        <w:t>projekt „Pomorskie z Ukrainą” ukierunkowany na kompleksową integrację społeczną i zawodową imigrantów m.in. poprzez wsparcie o charakterze bytowym, opiekuńczym, kursy zawodowe i językowe, tłumaczenia, doradztwo zawodowe oraz pomoc prawną i psychologiczną. Dodatkowo, projekt obejmował realizację działań szkoleniowych skierowanych do pracowników i wolontariuszy instytucji publicznych i organizacji pozarządowych PES/PS</w:t>
      </w:r>
      <w:r w:rsidR="00E017CE" w:rsidRPr="00211D94">
        <w:rPr>
          <w:rFonts w:cs="Arial"/>
          <w:szCs w:val="24"/>
          <w:lang w:eastAsia="pl-PL"/>
        </w:rPr>
        <w:t xml:space="preserve">. </w:t>
      </w:r>
      <w:r w:rsidR="0061715C" w:rsidRPr="00211D94">
        <w:rPr>
          <w:rFonts w:cs="Arial"/>
          <w:szCs w:val="24"/>
          <w:lang w:eastAsia="pl-PL"/>
        </w:rPr>
        <w:t xml:space="preserve">Projekt o łącznej wartości 6 596 990 EUR, w tym dofinansowanie z Unii Europejskiej w wysokości 5 607 441 EUR (co stanowi 103% alokacji przeznaczonej na OP14), był realizowany przez Województwo Pomorskie we współpracy z Regionalnym Ośrodkiem Polityki Społecznej. W ramach projektu przyznano granty organizacjom społeczeństwa obywatelskiego, w tym m.in. Północnej Lokalnej Grupie Rybackiej, Fundacji Fajnie Pomagamy, Fundacji </w:t>
      </w:r>
      <w:proofErr w:type="spellStart"/>
      <w:r w:rsidR="0061715C" w:rsidRPr="00211D94">
        <w:rPr>
          <w:rFonts w:cs="Arial"/>
          <w:szCs w:val="24"/>
          <w:lang w:eastAsia="pl-PL"/>
        </w:rPr>
        <w:t>Notera</w:t>
      </w:r>
      <w:proofErr w:type="spellEnd"/>
      <w:r w:rsidR="0061715C" w:rsidRPr="00211D94">
        <w:rPr>
          <w:rFonts w:cs="Arial"/>
          <w:szCs w:val="24"/>
          <w:lang w:eastAsia="pl-PL"/>
        </w:rPr>
        <w:t xml:space="preserve"> oraz Fundacji Sport Relacja Edukacja.</w:t>
      </w:r>
    </w:p>
    <w:p w14:paraId="57F6B1B0" w14:textId="420FB1BB" w:rsidR="00214BA9" w:rsidRPr="00211D94" w:rsidRDefault="00214BA9" w:rsidP="0061715C">
      <w:pPr>
        <w:pStyle w:val="Akapitzlist"/>
        <w:numPr>
          <w:ilvl w:val="0"/>
          <w:numId w:val="87"/>
        </w:numPr>
        <w:tabs>
          <w:tab w:val="left" w:pos="432"/>
        </w:tabs>
        <w:spacing w:before="120" w:after="120" w:line="276" w:lineRule="auto"/>
        <w:ind w:left="714" w:hanging="357"/>
        <w:contextualSpacing w:val="0"/>
        <w:rPr>
          <w:rFonts w:cs="Arial"/>
          <w:szCs w:val="24"/>
          <w:lang w:eastAsia="pl-PL"/>
        </w:rPr>
      </w:pPr>
      <w:r w:rsidRPr="00211D94">
        <w:rPr>
          <w:rFonts w:cs="Arial"/>
          <w:szCs w:val="24"/>
          <w:lang w:eastAsia="pl-PL"/>
        </w:rPr>
        <w:t>projekt „Pomorskie dla ukraińskich nauczycieli” skierowany do obywateli Ukrainy, którzy posiadają uprawnienia do wykonywania zawodu nauczyciela uzyskane</w:t>
      </w:r>
      <w:r w:rsidR="005B0E69" w:rsidRPr="00211D94">
        <w:rPr>
          <w:rFonts w:cs="Arial"/>
          <w:szCs w:val="24"/>
          <w:lang w:eastAsia="pl-PL"/>
        </w:rPr>
        <w:t xml:space="preserve"> </w:t>
      </w:r>
      <w:r w:rsidRPr="00211D94">
        <w:rPr>
          <w:rFonts w:cs="Arial"/>
          <w:szCs w:val="24"/>
          <w:lang w:eastAsia="pl-PL"/>
        </w:rPr>
        <w:t>w Ukrainie, i przebywają na terenie województwa pomorskiego w związku z konfliktem zbrojnym na terytorium tego państwa. Projekt oferował wsparcie ich w nabyciu umiejętności posługiwania się językiem polskim oraz aktywizację w polskim systemie oświaty w charakterze nauczyciela przedmiotu/specjalisty zgodnie z posiadanymi kwalifikacjami, po uzyskaniu nostryfikacji dyplomu;</w:t>
      </w:r>
    </w:p>
    <w:p w14:paraId="2E0B9ED4" w14:textId="77777777" w:rsidR="00214BA9" w:rsidRPr="00211D94" w:rsidRDefault="00214BA9" w:rsidP="0061715C">
      <w:pPr>
        <w:pStyle w:val="Akapitzlist"/>
        <w:numPr>
          <w:ilvl w:val="0"/>
          <w:numId w:val="87"/>
        </w:numPr>
        <w:tabs>
          <w:tab w:val="left" w:pos="432"/>
        </w:tabs>
        <w:spacing w:before="120" w:after="120" w:line="276" w:lineRule="auto"/>
        <w:ind w:left="714" w:hanging="357"/>
        <w:contextualSpacing w:val="0"/>
        <w:rPr>
          <w:rFonts w:cs="Arial"/>
          <w:szCs w:val="24"/>
          <w:lang w:eastAsia="pl-PL"/>
        </w:rPr>
      </w:pPr>
      <w:r w:rsidRPr="00211D94">
        <w:rPr>
          <w:rFonts w:cs="Arial"/>
          <w:szCs w:val="24"/>
          <w:lang w:eastAsia="pl-PL"/>
        </w:rPr>
        <w:t xml:space="preserve">projekt „Wsparcie ukraińskich imigrantów w Pomorskiem” polegający na wsparciu obywateli Ukrainy poprzez organizację kursów nauki języka polskiego oraz kursów zawodowych w zawodach około medycznych pomagających w zdobyciu uprawnień do wykonywania zawodu w </w:t>
      </w:r>
      <w:proofErr w:type="spellStart"/>
      <w:r w:rsidRPr="00211D94">
        <w:rPr>
          <w:rFonts w:cs="Arial"/>
          <w:szCs w:val="24"/>
          <w:lang w:eastAsia="pl-PL"/>
        </w:rPr>
        <w:t>zdeinstytucjonalizowanym</w:t>
      </w:r>
      <w:proofErr w:type="spellEnd"/>
      <w:r w:rsidRPr="00211D94">
        <w:rPr>
          <w:rFonts w:cs="Arial"/>
          <w:szCs w:val="24"/>
          <w:lang w:eastAsia="pl-PL"/>
        </w:rPr>
        <w:t xml:space="preserve"> sektorze ochrony zdrowia i usług społecznych na terenie województwa pomorskiego.</w:t>
      </w:r>
    </w:p>
    <w:p w14:paraId="3F984ACF" w14:textId="7A8B4105" w:rsidR="00314E40" w:rsidRPr="00211D94" w:rsidRDefault="00214BA9" w:rsidP="00F55865">
      <w:pPr>
        <w:tabs>
          <w:tab w:val="left" w:pos="432"/>
        </w:tabs>
        <w:spacing w:before="120" w:after="120"/>
        <w:rPr>
          <w:rFonts w:cs="Arial"/>
          <w:b/>
          <w:szCs w:val="24"/>
          <w:lang w:eastAsia="pl-PL"/>
        </w:rPr>
      </w:pPr>
      <w:r w:rsidRPr="00211D94">
        <w:rPr>
          <w:rFonts w:cs="Arial"/>
          <w:szCs w:val="24"/>
          <w:lang w:eastAsia="pl-PL"/>
        </w:rPr>
        <w:t>W ramach złożonych przez beneficjentów wniosków o płatność uznano za kwalifikowalne</w:t>
      </w:r>
      <w:r w:rsidRPr="00211D94" w:rsidDel="00B01744">
        <w:rPr>
          <w:rFonts w:cs="Arial"/>
          <w:szCs w:val="24"/>
          <w:lang w:eastAsia="pl-PL"/>
        </w:rPr>
        <w:t xml:space="preserve"> </w:t>
      </w:r>
      <w:r w:rsidRPr="00211D94">
        <w:rPr>
          <w:rFonts w:cs="Arial"/>
          <w:szCs w:val="24"/>
          <w:lang w:eastAsia="pl-PL"/>
        </w:rPr>
        <w:t xml:space="preserve">wydatki na kwotę </w:t>
      </w:r>
      <w:r w:rsidRPr="00211D94">
        <w:rPr>
          <w:rFonts w:cs="Arial"/>
          <w:b/>
          <w:szCs w:val="24"/>
          <w:lang w:eastAsia="pl-PL"/>
        </w:rPr>
        <w:t>6 864 940 EUR</w:t>
      </w:r>
      <w:r w:rsidRPr="00211D94">
        <w:rPr>
          <w:rFonts w:cs="Arial"/>
          <w:szCs w:val="24"/>
          <w:lang w:eastAsia="pl-PL"/>
        </w:rPr>
        <w:t xml:space="preserve">, w tym </w:t>
      </w:r>
      <w:r w:rsidRPr="00211D94">
        <w:rPr>
          <w:rFonts w:cs="Arial"/>
          <w:b/>
          <w:szCs w:val="24"/>
          <w:lang w:eastAsia="pl-PL"/>
        </w:rPr>
        <w:t>5 835 199 EUR</w:t>
      </w:r>
      <w:r w:rsidRPr="00211D94">
        <w:rPr>
          <w:rFonts w:cs="Arial"/>
          <w:szCs w:val="24"/>
          <w:lang w:eastAsia="pl-PL"/>
        </w:rPr>
        <w:t xml:space="preserve"> dofinansowania UE, co stanowi </w:t>
      </w:r>
      <w:r w:rsidR="009F5C37" w:rsidRPr="00211D94">
        <w:rPr>
          <w:rFonts w:cs="Arial"/>
          <w:b/>
          <w:szCs w:val="24"/>
          <w:lang w:eastAsia="pl-PL"/>
        </w:rPr>
        <w:t>107,3</w:t>
      </w:r>
      <w:r w:rsidRPr="00211D94">
        <w:rPr>
          <w:rFonts w:cs="Arial"/>
          <w:b/>
          <w:szCs w:val="24"/>
          <w:lang w:eastAsia="pl-PL"/>
        </w:rPr>
        <w:t>%</w:t>
      </w:r>
      <w:r w:rsidRPr="00211D94">
        <w:rPr>
          <w:rFonts w:cs="Arial"/>
          <w:szCs w:val="24"/>
          <w:lang w:eastAsia="pl-PL"/>
        </w:rPr>
        <w:t xml:space="preserve"> przeznaczonej na OP14 alokacji.</w:t>
      </w:r>
      <w:r w:rsidRPr="00211D94">
        <w:rPr>
          <w:rFonts w:cs="Arial"/>
          <w:b/>
          <w:szCs w:val="24"/>
          <w:lang w:eastAsia="pl-PL"/>
        </w:rPr>
        <w:t xml:space="preserve"> </w:t>
      </w:r>
    </w:p>
    <w:p w14:paraId="4A67E693" w14:textId="77777777" w:rsidR="00214BA9" w:rsidRPr="00211D94" w:rsidRDefault="00214BA9" w:rsidP="00F55865">
      <w:pPr>
        <w:tabs>
          <w:tab w:val="left" w:pos="432"/>
        </w:tabs>
        <w:spacing w:before="120" w:after="120"/>
        <w:rPr>
          <w:rFonts w:cs="Arial"/>
          <w:b/>
          <w:szCs w:val="24"/>
          <w:lang w:eastAsia="pl-PL"/>
        </w:rPr>
      </w:pPr>
      <w:r w:rsidRPr="00211D94">
        <w:rPr>
          <w:rFonts w:cs="Arial"/>
          <w:szCs w:val="24"/>
          <w:lang w:eastAsia="pl-PL"/>
        </w:rPr>
        <w:t>Zgodnie z Tabelą 4B zostały osiągnięte wskaźniki rezultatu specyficzne dla Programu tj.:</w:t>
      </w:r>
    </w:p>
    <w:p w14:paraId="0F05759D" w14:textId="1C5B354A" w:rsidR="00214BA9" w:rsidRPr="00211D94" w:rsidRDefault="005277B4" w:rsidP="00F55865">
      <w:pPr>
        <w:numPr>
          <w:ilvl w:val="0"/>
          <w:numId w:val="4"/>
        </w:numPr>
        <w:tabs>
          <w:tab w:val="left" w:pos="432"/>
        </w:tabs>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Całkowita liczba osób objętych wsparciem</w:t>
      </w:r>
      <w:r w:rsidRPr="00211D94">
        <w:rPr>
          <w:rFonts w:cs="Arial"/>
          <w:szCs w:val="24"/>
          <w:lang w:eastAsia="pl-PL"/>
        </w:rPr>
        <w:t>”</w:t>
      </w:r>
      <w:r w:rsidR="00214BA9" w:rsidRPr="00211D94">
        <w:rPr>
          <w:rFonts w:cs="Arial"/>
          <w:szCs w:val="24"/>
          <w:lang w:eastAsia="pl-PL"/>
        </w:rPr>
        <w:t xml:space="preserve"> </w:t>
      </w:r>
      <w:r w:rsidR="005B0E69" w:rsidRPr="00211D94">
        <w:rPr>
          <w:rFonts w:cs="Arial"/>
          <w:szCs w:val="24"/>
          <w:lang w:eastAsia="pl-PL"/>
        </w:rPr>
        <w:t xml:space="preserve">- </w:t>
      </w:r>
      <w:r w:rsidR="00214BA9" w:rsidRPr="00211D94">
        <w:rPr>
          <w:rFonts w:cs="Arial"/>
          <w:szCs w:val="24"/>
          <w:lang w:eastAsia="pl-PL"/>
        </w:rPr>
        <w:t>3 728 osób – co powoduje, że cel końcowy został osiągnięty na poziomie 201,5%,</w:t>
      </w:r>
    </w:p>
    <w:p w14:paraId="3ABAC6E9" w14:textId="132A0AFE" w:rsidR="002D0A49" w:rsidRPr="00211D94" w:rsidRDefault="005277B4" w:rsidP="00F55865">
      <w:pPr>
        <w:numPr>
          <w:ilvl w:val="0"/>
          <w:numId w:val="4"/>
        </w:numPr>
        <w:tabs>
          <w:tab w:val="left" w:pos="432"/>
        </w:tabs>
        <w:spacing w:before="120" w:after="120"/>
        <w:rPr>
          <w:rFonts w:cs="Arial"/>
          <w:szCs w:val="24"/>
          <w:lang w:eastAsia="pl-PL"/>
        </w:rPr>
      </w:pPr>
      <w:r w:rsidRPr="00211D94">
        <w:rPr>
          <w:rFonts w:cs="Arial"/>
          <w:szCs w:val="24"/>
          <w:lang w:eastAsia="pl-PL"/>
        </w:rPr>
        <w:t>„</w:t>
      </w:r>
      <w:r w:rsidR="00214BA9" w:rsidRPr="00211D94">
        <w:rPr>
          <w:rFonts w:cs="Arial"/>
          <w:szCs w:val="24"/>
          <w:lang w:eastAsia="pl-PL"/>
        </w:rPr>
        <w:t>Liczba dzieci poniżej 18. roku życia</w:t>
      </w:r>
      <w:r w:rsidRPr="00211D94">
        <w:rPr>
          <w:rFonts w:cs="Arial"/>
          <w:szCs w:val="24"/>
          <w:lang w:eastAsia="pl-PL"/>
        </w:rPr>
        <w:t>”</w:t>
      </w:r>
      <w:r w:rsidR="00214BA9" w:rsidRPr="00211D94">
        <w:rPr>
          <w:rFonts w:cs="Arial"/>
          <w:i/>
          <w:szCs w:val="24"/>
          <w:lang w:eastAsia="pl-PL"/>
        </w:rPr>
        <w:t xml:space="preserve"> </w:t>
      </w:r>
      <w:r w:rsidR="005B0E69" w:rsidRPr="00211D94">
        <w:rPr>
          <w:rFonts w:cs="Arial"/>
          <w:szCs w:val="24"/>
          <w:lang w:eastAsia="pl-PL"/>
        </w:rPr>
        <w:t xml:space="preserve">- </w:t>
      </w:r>
      <w:r w:rsidR="00214BA9" w:rsidRPr="00211D94">
        <w:rPr>
          <w:rFonts w:cs="Arial"/>
          <w:szCs w:val="24"/>
          <w:lang w:eastAsia="pl-PL"/>
        </w:rPr>
        <w:t>1</w:t>
      </w:r>
      <w:r w:rsidR="00355300" w:rsidRPr="00211D94">
        <w:rPr>
          <w:rFonts w:cs="Arial"/>
          <w:szCs w:val="24"/>
          <w:lang w:eastAsia="pl-PL"/>
        </w:rPr>
        <w:t> </w:t>
      </w:r>
      <w:r w:rsidR="00214BA9" w:rsidRPr="00211D94">
        <w:rPr>
          <w:rFonts w:cs="Arial"/>
          <w:szCs w:val="24"/>
          <w:lang w:eastAsia="pl-PL"/>
        </w:rPr>
        <w:t>469</w:t>
      </w:r>
      <w:r w:rsidR="00355300" w:rsidRPr="00211D94">
        <w:rPr>
          <w:rFonts w:cs="Arial"/>
          <w:szCs w:val="24"/>
          <w:lang w:eastAsia="pl-PL"/>
        </w:rPr>
        <w:t xml:space="preserve"> osób</w:t>
      </w:r>
      <w:r w:rsidR="00214BA9" w:rsidRPr="00211D94">
        <w:rPr>
          <w:rFonts w:cs="Arial"/>
          <w:i/>
          <w:szCs w:val="24"/>
          <w:lang w:eastAsia="pl-PL"/>
        </w:rPr>
        <w:t xml:space="preserve"> – </w:t>
      </w:r>
      <w:r w:rsidR="00214BA9" w:rsidRPr="00211D94">
        <w:rPr>
          <w:rFonts w:cs="Arial"/>
          <w:szCs w:val="24"/>
          <w:lang w:eastAsia="pl-PL"/>
        </w:rPr>
        <w:t xml:space="preserve">co powoduje, że cel końcowy został osiągnięty na poziomie </w:t>
      </w:r>
      <w:r w:rsidR="00355300" w:rsidRPr="00211D94">
        <w:rPr>
          <w:rFonts w:cs="Arial"/>
          <w:szCs w:val="24"/>
          <w:lang w:eastAsia="pl-PL"/>
        </w:rPr>
        <w:t xml:space="preserve">1 </w:t>
      </w:r>
      <w:r w:rsidR="00214BA9" w:rsidRPr="00211D94">
        <w:rPr>
          <w:rFonts w:cs="Arial"/>
          <w:szCs w:val="24"/>
          <w:lang w:eastAsia="pl-PL"/>
        </w:rPr>
        <w:t>335,5%</w:t>
      </w:r>
      <w:r w:rsidR="002D0A49" w:rsidRPr="00211D94">
        <w:rPr>
          <w:rFonts w:cs="Arial"/>
          <w:szCs w:val="24"/>
          <w:lang w:eastAsia="pl-PL"/>
        </w:rPr>
        <w:t>.</w:t>
      </w:r>
    </w:p>
    <w:p w14:paraId="4B73C717" w14:textId="4EF45BA2" w:rsidR="002D0A49" w:rsidRPr="00211D94" w:rsidRDefault="002D0A49" w:rsidP="002D0A49">
      <w:pPr>
        <w:spacing w:before="120" w:after="120"/>
        <w:rPr>
          <w:rFonts w:cs="Arial"/>
          <w:szCs w:val="24"/>
        </w:rPr>
      </w:pPr>
      <w:r w:rsidRPr="00211D94">
        <w:rPr>
          <w:rFonts w:cs="Arial"/>
          <w:szCs w:val="24"/>
        </w:rPr>
        <w:t>Ramy wykonania:</w:t>
      </w:r>
    </w:p>
    <w:p w14:paraId="33A9AD26" w14:textId="77777777" w:rsidR="002D0A49" w:rsidRPr="00211D94" w:rsidRDefault="002D0A49" w:rsidP="002D0A49">
      <w:pPr>
        <w:spacing w:before="120" w:after="120"/>
        <w:rPr>
          <w:rFonts w:cs="Arial"/>
          <w:szCs w:val="24"/>
        </w:rPr>
      </w:pPr>
      <w:r w:rsidRPr="00211D94">
        <w:rPr>
          <w:rFonts w:cs="Arial"/>
          <w:szCs w:val="24"/>
        </w:rPr>
        <w:t>Cele końcowe wskaźników produktu oraz wskaźniki finansowe ram wykonania zostały osiągnięte (wartości przekraczają 85% celu końcowego):</w:t>
      </w:r>
    </w:p>
    <w:p w14:paraId="0F6464F2" w14:textId="692BA324" w:rsidR="002D0A49" w:rsidRPr="00211D94" w:rsidRDefault="002D0A49" w:rsidP="002D0A49">
      <w:pPr>
        <w:pStyle w:val="Akapitzlist"/>
        <w:numPr>
          <w:ilvl w:val="0"/>
          <w:numId w:val="38"/>
        </w:numPr>
        <w:spacing w:before="120" w:after="120" w:line="276" w:lineRule="auto"/>
        <w:ind w:left="284" w:hanging="284"/>
        <w:contextualSpacing w:val="0"/>
        <w:rPr>
          <w:rFonts w:cs="Arial"/>
          <w:szCs w:val="24"/>
        </w:rPr>
      </w:pPr>
      <w:r w:rsidRPr="00211D94">
        <w:rPr>
          <w:rFonts w:cs="Arial"/>
          <w:szCs w:val="24"/>
        </w:rPr>
        <w:t>„Całkowita liczba osób  objętych wsparciem” - 201,5% wartości docelowej na 2023r.</w:t>
      </w:r>
    </w:p>
    <w:p w14:paraId="76DCD342" w14:textId="292A6C3C" w:rsidR="00214BA9" w:rsidRPr="00211D94" w:rsidRDefault="002D0A49" w:rsidP="002D0A49">
      <w:pPr>
        <w:pStyle w:val="Akapitzlist"/>
        <w:numPr>
          <w:ilvl w:val="0"/>
          <w:numId w:val="38"/>
        </w:numPr>
        <w:spacing w:before="120" w:after="120" w:line="276" w:lineRule="auto"/>
        <w:ind w:left="284" w:hanging="284"/>
        <w:contextualSpacing w:val="0"/>
        <w:rPr>
          <w:rFonts w:cs="Arial"/>
          <w:szCs w:val="24"/>
        </w:rPr>
      </w:pPr>
      <w:r w:rsidRPr="00211D94">
        <w:rPr>
          <w:rFonts w:eastAsia="CIDFont+F2" w:cs="Arial"/>
          <w:szCs w:val="24"/>
          <w:lang w:eastAsia="pl-PL"/>
        </w:rPr>
        <w:t xml:space="preserve">Całkowita kwota certyfikowanych wydatków kwalifikowalnych- 105,3% </w:t>
      </w:r>
      <w:r w:rsidRPr="00211D94">
        <w:rPr>
          <w:rFonts w:cs="Arial"/>
          <w:szCs w:val="24"/>
        </w:rPr>
        <w:t>wartości docelowej na 2023r.</w:t>
      </w:r>
    </w:p>
    <w:p w14:paraId="6C72962F" w14:textId="12F9D69A" w:rsidR="0017642C" w:rsidRPr="00211D94" w:rsidRDefault="0017642C" w:rsidP="008B3DAE">
      <w:pPr>
        <w:tabs>
          <w:tab w:val="left" w:pos="432"/>
        </w:tabs>
        <w:spacing w:before="120" w:after="120"/>
        <w:rPr>
          <w:rFonts w:cs="Arial"/>
          <w:szCs w:val="24"/>
          <w:lang w:eastAsia="pl-PL"/>
        </w:rPr>
      </w:pPr>
      <w:r w:rsidRPr="00211D94">
        <w:rPr>
          <w:rFonts w:cs="Arial"/>
          <w:szCs w:val="24"/>
          <w:lang w:eastAsia="pl-PL"/>
        </w:rPr>
        <w:t>Przekroczenie wartości wskaźników było spowodowane ostrożnym szacowaniem wartości docelowych przez IZ RPO WP - z uwagi na specyfikę grupy docelowej tj. osoby uciekające przed konfliktem zbrojnym na Ukrainie - przyjęto stosunkowo niski poziom wskaźników oraz wzięto pod uwagę fakt, że część z tych osób może nie ukończyć projektu z powodu powrotu do kraju. Założono, że 1 850 osób weźmie udział w projektach natomiast ostatecznie wsparciem objęto 3 728 osób (201,5% poziom osiągnięcia wartości docelowej), również drugi wskaźnik dotyczący liczby dzieci poniżej 18 roku życia został osiągnięty na poziomie 1 335% tj. objęto 1 469 osób z założonych 110.</w:t>
      </w:r>
    </w:p>
    <w:p w14:paraId="41CBA476" w14:textId="7CA1C2B9" w:rsidR="007D0568" w:rsidRPr="00211D94" w:rsidRDefault="0017642C" w:rsidP="008B3DAE">
      <w:pPr>
        <w:tabs>
          <w:tab w:val="left" w:pos="432"/>
        </w:tabs>
        <w:spacing w:before="120" w:after="120"/>
        <w:rPr>
          <w:rFonts w:cs="Arial"/>
          <w:szCs w:val="24"/>
          <w:lang w:eastAsia="pl-PL"/>
        </w:rPr>
      </w:pPr>
      <w:r w:rsidRPr="00211D94">
        <w:rPr>
          <w:rFonts w:cs="Arial"/>
          <w:szCs w:val="24"/>
          <w:lang w:eastAsia="pl-PL"/>
        </w:rPr>
        <w:t xml:space="preserve">Duży wpływ na poziom osiągniętych wskaźników ma fakt, że agresja Rosji na Ukrainę </w:t>
      </w:r>
      <w:r w:rsidR="002D0A49" w:rsidRPr="00211D94">
        <w:rPr>
          <w:rFonts w:cs="Arial"/>
          <w:szCs w:val="24"/>
          <w:lang w:eastAsia="pl-PL"/>
        </w:rPr>
        <w:t xml:space="preserve">wciąż </w:t>
      </w:r>
      <w:r w:rsidRPr="00211D94">
        <w:rPr>
          <w:rFonts w:cs="Arial"/>
          <w:szCs w:val="24"/>
          <w:lang w:eastAsia="pl-PL"/>
        </w:rPr>
        <w:t>trwa i migranci nadal potrzebują wsparcia</w:t>
      </w:r>
      <w:r w:rsidR="00214BA9" w:rsidRPr="00211D94">
        <w:rPr>
          <w:rFonts w:cs="Arial"/>
          <w:szCs w:val="24"/>
          <w:lang w:eastAsia="pl-PL"/>
        </w:rPr>
        <w:t>.</w:t>
      </w:r>
    </w:p>
    <w:p w14:paraId="46267CA5" w14:textId="3E9EF6C4" w:rsidR="00C474A0" w:rsidRPr="00211D94" w:rsidRDefault="00523A6A" w:rsidP="00F55865">
      <w:pPr>
        <w:pStyle w:val="Nagwek2"/>
        <w:spacing w:before="120" w:after="120"/>
        <w:rPr>
          <w:rFonts w:cs="Arial"/>
          <w:color w:val="FFFFFF" w:themeColor="background1"/>
        </w:rPr>
      </w:pPr>
      <w:bookmarkStart w:id="175" w:name="_Toc214025295"/>
      <w:bookmarkEnd w:id="125"/>
      <w:r w:rsidRPr="00211D94">
        <w:rPr>
          <w:rFonts w:cs="Arial"/>
          <w:color w:val="FFFFFF" w:themeColor="background1"/>
        </w:rPr>
        <w:t>11.2. 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w:t>
      </w:r>
      <w:bookmarkEnd w:id="175"/>
      <w:r w:rsidRPr="00211D94">
        <w:rPr>
          <w:rFonts w:cs="Arial"/>
          <w:color w:val="FFFFFF" w:themeColor="background1"/>
        </w:rPr>
        <w:t xml:space="preserve"> </w:t>
      </w:r>
    </w:p>
    <w:p w14:paraId="644F6100" w14:textId="5C2D7910" w:rsidR="00214BA9" w:rsidRPr="00211D94" w:rsidRDefault="000152D8" w:rsidP="00F55865">
      <w:pPr>
        <w:spacing w:before="120" w:after="120"/>
        <w:rPr>
          <w:rFonts w:cs="Arial"/>
          <w:szCs w:val="24"/>
          <w:lang w:eastAsia="pl-PL"/>
        </w:rPr>
      </w:pPr>
      <w:r w:rsidRPr="00211D94">
        <w:rPr>
          <w:rFonts w:cs="Arial"/>
          <w:szCs w:val="24"/>
          <w:lang w:eastAsia="pl-PL"/>
        </w:rPr>
        <w:t>W Programie wsparciem objęto 37 628 osób z niepełnosprawnościami (6,99% uczestników). Po jego zakończeniu pracowały 4 522 osoby z tej grupy (12,27% ogółu pracujących), a 7 194 uzyskały kwalifikacje</w:t>
      </w:r>
      <w:r w:rsidR="00214BA9" w:rsidRPr="00211D94">
        <w:rPr>
          <w:rFonts w:cs="Arial"/>
          <w:szCs w:val="24"/>
          <w:lang w:eastAsia="pl-PL"/>
        </w:rPr>
        <w:t xml:space="preserve">. W 26 projektach sfinansowano koszty racjonalnych usprawnień dla osób z niepełnosprawnościami. </w:t>
      </w:r>
      <w:r w:rsidR="00214BA9" w:rsidRPr="00211D94">
        <w:rPr>
          <w:rFonts w:cs="Arial"/>
          <w:szCs w:val="24"/>
          <w:lang w:eastAsia="pl-PL"/>
        </w:rPr>
        <w:br/>
        <w:t xml:space="preserve">W okresie realizacji Programu nie zidentyfikowano projektów z zadeklarowanym brakiem zastosowania zasady dostępności dla osób z niepełnosprawnościami. </w:t>
      </w:r>
      <w:r w:rsidR="00214BA9" w:rsidRPr="00211D94">
        <w:rPr>
          <w:rFonts w:cs="Arial"/>
          <w:szCs w:val="24"/>
          <w:lang w:eastAsia="pl-PL"/>
        </w:rPr>
        <w:br/>
        <w:t xml:space="preserve">IZ RPO nie zidentyfikowała żadnych przypadków dyskryminacji ze względu na orientację seksualną lub tożsamość płciową w kontekście dostępu do projektów współfinansowanych z funduszy polityki spójności UE w regionie. </w:t>
      </w:r>
    </w:p>
    <w:p w14:paraId="54492BAB" w14:textId="77777777" w:rsidR="00214BA9" w:rsidRPr="00211D94" w:rsidRDefault="00214BA9" w:rsidP="00F55865">
      <w:pPr>
        <w:spacing w:before="120" w:after="120"/>
        <w:rPr>
          <w:rFonts w:cs="Arial"/>
          <w:szCs w:val="24"/>
          <w:lang w:eastAsia="pl-PL"/>
        </w:rPr>
      </w:pPr>
      <w:r w:rsidRPr="00211D94">
        <w:rPr>
          <w:rFonts w:cs="Arial"/>
          <w:szCs w:val="24"/>
          <w:lang w:eastAsia="pl-PL"/>
        </w:rPr>
        <w:t xml:space="preserve">Wszystkie dokumenty programowe oraz konkursowe uwzględniały Wytyczne </w:t>
      </w:r>
      <w:r w:rsidRPr="00211D94">
        <w:rPr>
          <w:rFonts w:cs="Arial"/>
          <w:szCs w:val="24"/>
          <w:lang w:eastAsia="pl-PL"/>
        </w:rPr>
        <w:br/>
        <w:t xml:space="preserve">w zakresie realizacji zasady równości szans i niedyskryminacji, w tym dostępności dla osób z niepełnosprawnościami oraz zasady równości szans kobiet i mężczyzn </w:t>
      </w:r>
      <w:r w:rsidRPr="00211D94">
        <w:rPr>
          <w:rFonts w:cs="Arial"/>
          <w:szCs w:val="24"/>
          <w:lang w:eastAsia="pl-PL"/>
        </w:rPr>
        <w:br/>
        <w:t xml:space="preserve">w ramach funduszy unijnych na lata 2014-2020. </w:t>
      </w:r>
    </w:p>
    <w:p w14:paraId="161D23D4" w14:textId="77777777" w:rsidR="00214BA9" w:rsidRPr="00211D94" w:rsidRDefault="00214BA9" w:rsidP="00F55865">
      <w:pPr>
        <w:spacing w:before="120" w:after="120"/>
        <w:rPr>
          <w:rFonts w:cs="Arial"/>
          <w:szCs w:val="24"/>
          <w:lang w:eastAsia="pl-PL"/>
        </w:rPr>
      </w:pPr>
      <w:r w:rsidRPr="00211D94">
        <w:rPr>
          <w:rFonts w:cs="Arial"/>
          <w:szCs w:val="24"/>
          <w:lang w:eastAsia="pl-PL"/>
        </w:rPr>
        <w:t xml:space="preserve">Wszystkie wnioski o dofinansowanie oceniane były pod względem zgodności </w:t>
      </w:r>
      <w:r w:rsidRPr="00211D94">
        <w:rPr>
          <w:rFonts w:cs="Arial"/>
          <w:szCs w:val="24"/>
          <w:lang w:eastAsia="pl-PL"/>
        </w:rPr>
        <w:br/>
        <w:t xml:space="preserve">z politykami horyzontalnymi - tzw. standardu minimum. Wnioski zawierały dedykowane pola, w których wnioskodawca zamieszczał informacje o planowanym sposobie realizacji odrębnie dla zasad horyzontalnych. Dodatkowo Beneficjenci mogli ubiegać się o zastosowanie mechanizmu racjonalnych usprawnień tj. koniecznych </w:t>
      </w:r>
      <w:r w:rsidRPr="00211D94">
        <w:rPr>
          <w:rFonts w:cs="Arial"/>
          <w:szCs w:val="24"/>
          <w:lang w:eastAsia="pl-PL"/>
        </w:rPr>
        <w:br/>
        <w:t xml:space="preserve">i odpowiednich zmian w celu zapewnienia osobom z niepełnosprawnościami możliwości korzystania z praw człowieka i podstawowych wolności. Wszystkie spotkania informacyjne z Beneficjentami zawierały treści dotyczące polityk horyzontalnych. </w:t>
      </w:r>
    </w:p>
    <w:p w14:paraId="76F43449" w14:textId="77777777" w:rsidR="00214BA9" w:rsidRPr="00211D94" w:rsidRDefault="00214BA9" w:rsidP="00F55865">
      <w:pPr>
        <w:spacing w:before="120" w:after="120"/>
        <w:rPr>
          <w:rFonts w:cs="Arial"/>
          <w:szCs w:val="24"/>
          <w:lang w:eastAsia="pl-PL"/>
        </w:rPr>
      </w:pPr>
      <w:r w:rsidRPr="00211D94">
        <w:rPr>
          <w:rFonts w:cs="Arial"/>
          <w:szCs w:val="24"/>
          <w:lang w:eastAsia="pl-PL"/>
        </w:rPr>
        <w:t xml:space="preserve">Ponadto Beneficjenci w umowie o dofinansowanie projektu zobowiązani byli </w:t>
      </w:r>
      <w:r w:rsidRPr="00211D94">
        <w:rPr>
          <w:rFonts w:cs="Arial"/>
          <w:szCs w:val="24"/>
          <w:lang w:eastAsia="pl-PL"/>
        </w:rPr>
        <w:br/>
        <w:t xml:space="preserve">do przestrzegania zasad równości szans i niedyskryminacji, w tym dostępności </w:t>
      </w:r>
      <w:r w:rsidRPr="00211D94">
        <w:rPr>
          <w:rFonts w:cs="Arial"/>
          <w:szCs w:val="24"/>
          <w:lang w:eastAsia="pl-PL"/>
        </w:rPr>
        <w:br/>
        <w:t xml:space="preserve">dla osób z niepełnosprawnościami oraz równości szans kobiet i mężczyzn, a także przeciwdziałania wszelkim formom dyskryminacji na etapie realizacji projektu. Informacje o sposobach realizacji tych zasad Beneficjent sprawozdawali we wnioskach o płatność. </w:t>
      </w:r>
    </w:p>
    <w:p w14:paraId="1186BE2C" w14:textId="071D15EC" w:rsidR="00214BA9" w:rsidRPr="00211D94" w:rsidRDefault="00214BA9" w:rsidP="00F55865">
      <w:pPr>
        <w:spacing w:before="120" w:after="120"/>
        <w:rPr>
          <w:rFonts w:cs="Arial"/>
          <w:szCs w:val="24"/>
          <w:lang w:eastAsia="pl-PL"/>
        </w:rPr>
      </w:pPr>
      <w:r w:rsidRPr="00211D94">
        <w:rPr>
          <w:rFonts w:cs="Arial"/>
          <w:szCs w:val="24"/>
          <w:lang w:eastAsia="pl-PL"/>
        </w:rPr>
        <w:t xml:space="preserve">IZ RPO i Beneficjent musieli zapewnić, że wszystkie tworzone zasoby cyfrowe (strony www, platformy e-learningowe, e-zasoby itd.) spełniały kryteria dostępności dla osób z różnymi rodzajami niepełnosprawności zgodnie ze standardem WCAG 2.1. Multimedia (animacje, prezentacje, filmy, nagrania dźwiękowe itp.) powinny zawierać transkrypcje tekstowe, </w:t>
      </w:r>
      <w:proofErr w:type="spellStart"/>
      <w:r w:rsidRPr="00211D94">
        <w:rPr>
          <w:rFonts w:cs="Arial"/>
          <w:szCs w:val="24"/>
          <w:lang w:eastAsia="pl-PL"/>
        </w:rPr>
        <w:t>audiodeskrypcję</w:t>
      </w:r>
      <w:proofErr w:type="spellEnd"/>
      <w:r w:rsidRPr="00211D94">
        <w:rPr>
          <w:rFonts w:cs="Arial"/>
          <w:szCs w:val="24"/>
          <w:lang w:eastAsia="pl-PL"/>
        </w:rPr>
        <w:t xml:space="preserve"> czy tłumaczenie na język migowy. </w:t>
      </w:r>
    </w:p>
    <w:p w14:paraId="793A55F4" w14:textId="41905DAF" w:rsidR="00214BA9" w:rsidRPr="00211D94" w:rsidRDefault="00214BA9" w:rsidP="00F55865">
      <w:pPr>
        <w:spacing w:before="120" w:after="120"/>
        <w:rPr>
          <w:rFonts w:cs="Arial"/>
          <w:szCs w:val="24"/>
          <w:lang w:eastAsia="pl-PL"/>
        </w:rPr>
      </w:pPr>
      <w:r w:rsidRPr="00211D94">
        <w:rPr>
          <w:rFonts w:cs="Arial"/>
          <w:szCs w:val="24"/>
          <w:lang w:eastAsia="pl-PL"/>
        </w:rPr>
        <w:t xml:space="preserve">Powołana na mocy wytycznych równościowych Koordynatorka ds. równości szans </w:t>
      </w:r>
      <w:r w:rsidRPr="00211D94">
        <w:rPr>
          <w:rFonts w:cs="Arial"/>
          <w:szCs w:val="24"/>
          <w:lang w:eastAsia="pl-PL"/>
        </w:rPr>
        <w:br/>
        <w:t xml:space="preserve">i niedyskryminacji, w tym dostępności dla osób z niepełnosprawnościami w okresie od marca 2017 r. do października 2020 r. przeprowadziła 12 szkoleń nt. realizacji zasad równości szans i niedyskryminacji oraz równości szans kobiet i mężczyzn w ramach </w:t>
      </w:r>
      <w:r w:rsidR="00355300" w:rsidRPr="00211D94">
        <w:rPr>
          <w:rFonts w:cs="Arial"/>
          <w:szCs w:val="24"/>
          <w:lang w:eastAsia="pl-PL"/>
        </w:rPr>
        <w:t>f</w:t>
      </w:r>
      <w:r w:rsidRPr="00211D94">
        <w:rPr>
          <w:rFonts w:cs="Arial"/>
          <w:szCs w:val="24"/>
          <w:lang w:eastAsia="pl-PL"/>
        </w:rPr>
        <w:t xml:space="preserve">unduszy </w:t>
      </w:r>
      <w:r w:rsidR="00355300" w:rsidRPr="00211D94">
        <w:rPr>
          <w:rFonts w:cs="Arial"/>
          <w:szCs w:val="24"/>
          <w:lang w:eastAsia="pl-PL"/>
        </w:rPr>
        <w:t>e</w:t>
      </w:r>
      <w:r w:rsidRPr="00211D94">
        <w:rPr>
          <w:rFonts w:cs="Arial"/>
          <w:szCs w:val="24"/>
          <w:lang w:eastAsia="pl-PL"/>
        </w:rPr>
        <w:t xml:space="preserve">uropejskich na lata 2014-2020, w których uczestniczyło łącznie 227 osób z województwa pomorskiego. Ponadto prowadziła tematyczne spotkania informacyjne dla wnioskodawców w ramach wszystkich ogłaszanych naborów wniosków finansowanych z </w:t>
      </w:r>
      <w:r w:rsidR="00844EA4" w:rsidRPr="00211D94">
        <w:rPr>
          <w:rFonts w:cs="Arial"/>
          <w:szCs w:val="24"/>
          <w:lang w:eastAsia="pl-PL"/>
        </w:rPr>
        <w:t>EFS</w:t>
      </w:r>
      <w:r w:rsidRPr="00211D94">
        <w:rPr>
          <w:rFonts w:cs="Arial"/>
          <w:szCs w:val="24"/>
          <w:lang w:eastAsia="pl-PL"/>
        </w:rPr>
        <w:t>. Od 2019 r. zagadnienia szkoleniowe uwzględniały tematykę dostępności dla osób ze szczególnymi potrzebami w związku z wejściem w życie dwóch ustaw: o zapewnianiu dostępności osobom ze szczególnymi potrzebami oraz o dostępności cyfrowej stron internetowych i aplikacji mobilnych podmiotów publicznych.</w:t>
      </w:r>
    </w:p>
    <w:p w14:paraId="4E0065C7" w14:textId="2959428B" w:rsidR="00214BA9" w:rsidRPr="00211D94" w:rsidRDefault="00214BA9" w:rsidP="00F55865">
      <w:pPr>
        <w:spacing w:before="120" w:after="120"/>
        <w:rPr>
          <w:rFonts w:cs="Arial"/>
          <w:szCs w:val="24"/>
          <w:lang w:eastAsia="pl-PL"/>
        </w:rPr>
      </w:pPr>
      <w:r w:rsidRPr="00211D94">
        <w:rPr>
          <w:rFonts w:cs="Arial"/>
          <w:szCs w:val="24"/>
          <w:lang w:eastAsia="pl-PL"/>
        </w:rPr>
        <w:t xml:space="preserve">Budynki, w których mieszczą się siedziby </w:t>
      </w:r>
      <w:r w:rsidR="00844EA4" w:rsidRPr="00211D94">
        <w:rPr>
          <w:rFonts w:cs="Arial"/>
          <w:szCs w:val="24"/>
          <w:lang w:eastAsia="pl-PL"/>
        </w:rPr>
        <w:t xml:space="preserve">IZ </w:t>
      </w:r>
      <w:r w:rsidRPr="00211D94">
        <w:rPr>
          <w:rFonts w:cs="Arial"/>
          <w:szCs w:val="24"/>
          <w:lang w:eastAsia="pl-PL"/>
        </w:rPr>
        <w:t xml:space="preserve">oraz miejsca przeprowadzanych szkoleń i spotkań zostały </w:t>
      </w:r>
      <w:r w:rsidRPr="00211D94">
        <w:rPr>
          <w:rFonts w:cs="Arial"/>
          <w:bCs/>
          <w:szCs w:val="24"/>
          <w:lang w:eastAsia="pl-PL"/>
        </w:rPr>
        <w:t xml:space="preserve">częściowo </w:t>
      </w:r>
      <w:r w:rsidRPr="00211D94">
        <w:rPr>
          <w:rFonts w:cs="Arial"/>
          <w:szCs w:val="24"/>
          <w:lang w:eastAsia="pl-PL"/>
        </w:rPr>
        <w:t>dostosowane do potrzeb osób</w:t>
      </w:r>
      <w:r w:rsidR="00355300" w:rsidRPr="00211D94">
        <w:rPr>
          <w:rFonts w:cs="Arial"/>
          <w:szCs w:val="24"/>
          <w:lang w:eastAsia="pl-PL"/>
        </w:rPr>
        <w:t xml:space="preserve"> </w:t>
      </w:r>
      <w:r w:rsidRPr="00211D94">
        <w:rPr>
          <w:rFonts w:cs="Arial"/>
          <w:szCs w:val="24"/>
          <w:lang w:eastAsia="pl-PL"/>
        </w:rPr>
        <w:t>z niepełnosprawnościami.</w:t>
      </w:r>
    </w:p>
    <w:p w14:paraId="0BF75BDC" w14:textId="7BDF7DCF" w:rsidR="00097208" w:rsidRPr="00211D94" w:rsidRDefault="00097208" w:rsidP="00F55865">
      <w:pPr>
        <w:pStyle w:val="Nagwek2"/>
        <w:spacing w:before="120" w:after="120"/>
        <w:rPr>
          <w:rStyle w:val="bold"/>
          <w:rFonts w:eastAsia="Calibri" w:cs="Arial"/>
          <w:bCs w:val="0"/>
          <w:iCs w:val="0"/>
          <w:color w:val="FFFFFF" w:themeColor="background1"/>
          <w:sz w:val="24"/>
          <w:szCs w:val="22"/>
        </w:rPr>
      </w:pPr>
      <w:bookmarkStart w:id="176" w:name="_Toc214025296"/>
      <w:r w:rsidRPr="00211D94">
        <w:rPr>
          <w:rFonts w:cs="Arial"/>
          <w:color w:val="FFFFFF" w:themeColor="background1"/>
        </w:rPr>
        <w:t xml:space="preserve">11.3. Zrównoważony rozwój (art. 50 ust. 4 i art. 111 ust. 4 akapit drugi lit. f) rozporządzenia </w:t>
      </w:r>
      <w:r w:rsidR="00726583" w:rsidRPr="00211D94">
        <w:rPr>
          <w:rFonts w:cs="Arial"/>
          <w:color w:val="FFFFFF" w:themeColor="background1"/>
        </w:rPr>
        <w:t>ogólnego</w:t>
      </w:r>
      <w:r w:rsidRPr="00211D94">
        <w:rPr>
          <w:rFonts w:cs="Arial"/>
          <w:color w:val="FFFFFF" w:themeColor="background1"/>
        </w:rPr>
        <w:t>)</w:t>
      </w:r>
      <w:bookmarkEnd w:id="176"/>
    </w:p>
    <w:p w14:paraId="642E0E9E" w14:textId="795EF3AD" w:rsidR="00E551D8" w:rsidRPr="00211D94" w:rsidRDefault="00E551D8" w:rsidP="00970003">
      <w:pPr>
        <w:spacing w:before="120" w:after="120"/>
        <w:rPr>
          <w:rFonts w:cs="Arial"/>
          <w:shd w:val="clear" w:color="auto" w:fill="FFFFFF"/>
        </w:rPr>
      </w:pPr>
      <w:r w:rsidRPr="00211D94">
        <w:rPr>
          <w:rFonts w:cs="Arial"/>
          <w:shd w:val="clear" w:color="auto" w:fill="FFFFFF"/>
        </w:rPr>
        <w:t>Zasada zrównoważonego rozwoju w projektach unijnych w latach 2014</w:t>
      </w:r>
      <w:r w:rsidR="0028393F" w:rsidRPr="00211D94">
        <w:rPr>
          <w:rFonts w:cs="Arial"/>
          <w:shd w:val="clear" w:color="auto" w:fill="FFFFFF"/>
        </w:rPr>
        <w:t>-2</w:t>
      </w:r>
      <w:r w:rsidRPr="00211D94">
        <w:rPr>
          <w:rFonts w:cs="Arial"/>
          <w:shd w:val="clear" w:color="auto" w:fill="FFFFFF"/>
        </w:rPr>
        <w:t>020 polega</w:t>
      </w:r>
      <w:r w:rsidR="0028393F" w:rsidRPr="00211D94">
        <w:rPr>
          <w:rFonts w:cs="Arial"/>
          <w:shd w:val="clear" w:color="auto" w:fill="FFFFFF"/>
        </w:rPr>
        <w:t>ła</w:t>
      </w:r>
      <w:r w:rsidRPr="00211D94">
        <w:rPr>
          <w:rFonts w:cs="Arial"/>
          <w:shd w:val="clear" w:color="auto" w:fill="FFFFFF"/>
        </w:rPr>
        <w:t xml:space="preserve"> na harmonijnym połączeniu celów ekologicznych, gospodarczych i społecznych, co miało zapewnić równowagę między potrzebami obecnych i przyszłych</w:t>
      </w:r>
      <w:r w:rsidR="005A1CDC" w:rsidRPr="00211D94">
        <w:rPr>
          <w:rFonts w:cs="Arial"/>
          <w:shd w:val="clear" w:color="auto" w:fill="FFFFFF"/>
        </w:rPr>
        <w:t xml:space="preserve"> </w:t>
      </w:r>
      <w:r w:rsidR="00844EA4" w:rsidRPr="00211D94">
        <w:rPr>
          <w:rFonts w:cs="Arial"/>
          <w:shd w:val="clear" w:color="auto" w:fill="FFFFFF"/>
        </w:rPr>
        <w:t>p</w:t>
      </w:r>
      <w:r w:rsidRPr="00211D94">
        <w:rPr>
          <w:rFonts w:cs="Arial"/>
          <w:shd w:val="clear" w:color="auto" w:fill="FFFFFF"/>
        </w:rPr>
        <w:t>okoleń. Oznacza to, że wnioskodawcy musieli wykazać, że ich projekty są zgodne z wymogami ochrony środowiska, m.in. przez minimalizację zużycia zasobów, redukcję zanieczyszczeń oraz unikanie „poważnych szkód” dla środowiska</w:t>
      </w:r>
      <w:r w:rsidR="006B3230" w:rsidRPr="00211D94">
        <w:rPr>
          <w:rFonts w:cs="Arial"/>
          <w:shd w:val="clear" w:color="auto" w:fill="FFFFFF"/>
        </w:rPr>
        <w:t>.</w:t>
      </w:r>
      <w:r w:rsidRPr="00211D94">
        <w:rPr>
          <w:rFonts w:cs="Arial"/>
          <w:shd w:val="clear" w:color="auto" w:fill="FFFFFF"/>
        </w:rPr>
        <w:t xml:space="preserve"> Ta zasada dotyczyła wszystkich projektów finansowanych z funduszy UE</w:t>
      </w:r>
      <w:r w:rsidR="00970003" w:rsidRPr="00211D94">
        <w:rPr>
          <w:rFonts w:cs="Arial"/>
          <w:shd w:val="clear" w:color="auto" w:fill="FFFFFF"/>
        </w:rPr>
        <w:t xml:space="preserve"> a wymóg jej spełnienia</w:t>
      </w:r>
      <w:r w:rsidR="00970003" w:rsidRPr="00211D94">
        <w:rPr>
          <w:rFonts w:cs="Arial"/>
          <w:szCs w:val="24"/>
          <w:shd w:val="clear" w:color="auto" w:fill="FFFFFF"/>
        </w:rPr>
        <w:t xml:space="preserve"> był ocenian</w:t>
      </w:r>
      <w:r w:rsidR="006B3230" w:rsidRPr="00211D94">
        <w:rPr>
          <w:rFonts w:cs="Arial"/>
          <w:szCs w:val="24"/>
          <w:shd w:val="clear" w:color="auto" w:fill="FFFFFF"/>
        </w:rPr>
        <w:t>y</w:t>
      </w:r>
      <w:r w:rsidR="00970003" w:rsidRPr="00211D94">
        <w:rPr>
          <w:rFonts w:cs="Arial"/>
          <w:szCs w:val="24"/>
          <w:shd w:val="clear" w:color="auto" w:fill="FFFFFF"/>
        </w:rPr>
        <w:t xml:space="preserve"> podczas procesu oceny formalnej każdego wniosku </w:t>
      </w:r>
      <w:r w:rsidR="00970003" w:rsidRPr="00211D94">
        <w:rPr>
          <w:rFonts w:cs="Arial"/>
          <w:szCs w:val="24"/>
          <w:shd w:val="clear" w:color="auto" w:fill="FFFFFF"/>
        </w:rPr>
        <w:br/>
        <w:t xml:space="preserve">o dofinansowanie złożonego w odpowiedzi na </w:t>
      </w:r>
      <w:r w:rsidR="006B3230" w:rsidRPr="00211D94">
        <w:rPr>
          <w:rFonts w:cs="Arial"/>
          <w:szCs w:val="24"/>
          <w:shd w:val="clear" w:color="auto" w:fill="FFFFFF"/>
        </w:rPr>
        <w:t xml:space="preserve">nabór w trybie </w:t>
      </w:r>
      <w:r w:rsidR="00970003" w:rsidRPr="00211D94">
        <w:rPr>
          <w:rFonts w:cs="Arial"/>
          <w:szCs w:val="24"/>
          <w:shd w:val="clear" w:color="auto" w:fill="FFFFFF"/>
        </w:rPr>
        <w:t>konkursowy</w:t>
      </w:r>
      <w:r w:rsidR="006B3230" w:rsidRPr="00211D94">
        <w:rPr>
          <w:rFonts w:cs="Arial"/>
          <w:szCs w:val="24"/>
          <w:shd w:val="clear" w:color="auto" w:fill="FFFFFF"/>
        </w:rPr>
        <w:t>m</w:t>
      </w:r>
      <w:r w:rsidR="00970003" w:rsidRPr="00211D94">
        <w:rPr>
          <w:rFonts w:cs="Arial"/>
          <w:szCs w:val="24"/>
          <w:shd w:val="clear" w:color="auto" w:fill="FFFFFF"/>
        </w:rPr>
        <w:t xml:space="preserve"> oraz pozakonkursowy</w:t>
      </w:r>
      <w:r w:rsidR="006B3230" w:rsidRPr="00211D94">
        <w:rPr>
          <w:rFonts w:cs="Arial"/>
          <w:szCs w:val="24"/>
          <w:shd w:val="clear" w:color="auto" w:fill="FFFFFF"/>
        </w:rPr>
        <w:t>m</w:t>
      </w:r>
      <w:r w:rsidR="00970003" w:rsidRPr="00211D94">
        <w:rPr>
          <w:rFonts w:cs="Arial"/>
          <w:szCs w:val="24"/>
          <w:shd w:val="clear" w:color="auto" w:fill="FFFFFF"/>
        </w:rPr>
        <w:t>. Oceniający, w karcie oceny formalnej, zaznaczał odpowiednią opcję TAK/NIE w odniesieniu do pytania Czy projekt jest zgodny z politykami horyzontalnymi UE w zakresie promowania zrównoważonego rozwoju? - odpowiedz NIE powodowała odrzucenie wniosku.</w:t>
      </w:r>
    </w:p>
    <w:p w14:paraId="40B9DC53" w14:textId="5DCA45AE" w:rsidR="00937C58" w:rsidRPr="00211D94" w:rsidRDefault="00970003" w:rsidP="00970003">
      <w:pPr>
        <w:spacing w:before="120" w:after="120"/>
        <w:rPr>
          <w:rFonts w:cs="Arial"/>
          <w:szCs w:val="24"/>
          <w:shd w:val="clear" w:color="auto" w:fill="FFFFFF"/>
        </w:rPr>
      </w:pPr>
      <w:r w:rsidRPr="00211D94">
        <w:rPr>
          <w:rFonts w:cs="Arial"/>
          <w:szCs w:val="24"/>
          <w:shd w:val="clear" w:color="auto" w:fill="FFFFFF"/>
        </w:rPr>
        <w:t>Z</w:t>
      </w:r>
      <w:r w:rsidR="00214BA9" w:rsidRPr="00211D94">
        <w:rPr>
          <w:rFonts w:cs="Arial"/>
          <w:szCs w:val="24"/>
          <w:shd w:val="clear" w:color="auto" w:fill="FFFFFF"/>
        </w:rPr>
        <w:t>asada zrównoważonego rozwoju została uwzględniona w RPO WP w</w:t>
      </w:r>
      <w:r w:rsidR="00937C58" w:rsidRPr="00211D94">
        <w:rPr>
          <w:rFonts w:cs="Arial"/>
          <w:szCs w:val="24"/>
          <w:shd w:val="clear" w:color="auto" w:fill="FFFFFF"/>
        </w:rPr>
        <w:t xml:space="preserve"> następujących OP:</w:t>
      </w:r>
    </w:p>
    <w:p w14:paraId="2AE96B21" w14:textId="74A9CFAC" w:rsidR="00970003"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OP1. Komercjalizacja wiedzy – w zakresie wspierania i rozwoju innowacji oraz transferu wiedzy do gospodarki, gdzie preferowane będą przedsięwzięcia przyczyniające się do oszczędności surowców i energii oraz ograniczenia emisji szkodliwych substancji do środowiska, </w:t>
      </w:r>
    </w:p>
    <w:p w14:paraId="79A1AAAC" w14:textId="38329D3D"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OP2. Przedsiębiorstwa – w zakresie wdrażania nowych rozwiązań proekologicznych, zapobiegania powstawani</w:t>
      </w:r>
      <w:r w:rsidR="00DE1AFD" w:rsidRPr="00211D94">
        <w:rPr>
          <w:rFonts w:cs="Arial"/>
          <w:szCs w:val="24"/>
          <w:lang w:eastAsia="pl-PL"/>
        </w:rPr>
        <w:t>u</w:t>
      </w:r>
      <w:r w:rsidRPr="00211D94">
        <w:rPr>
          <w:rFonts w:cs="Arial"/>
          <w:szCs w:val="24"/>
          <w:lang w:eastAsia="pl-PL"/>
        </w:rPr>
        <w:t xml:space="preserve"> emisji do środowiska </w:t>
      </w:r>
      <w:r w:rsidR="00B432DD" w:rsidRPr="00211D94">
        <w:rPr>
          <w:rFonts w:cs="Arial"/>
          <w:szCs w:val="24"/>
          <w:lang w:eastAsia="pl-PL"/>
        </w:rPr>
        <w:t xml:space="preserve">i jej ograniczania </w:t>
      </w:r>
      <w:r w:rsidRPr="00211D94">
        <w:rPr>
          <w:rFonts w:cs="Arial"/>
          <w:szCs w:val="24"/>
          <w:lang w:eastAsia="pl-PL"/>
        </w:rPr>
        <w:t>oraz racjonalnej gospodar</w:t>
      </w:r>
      <w:r w:rsidR="00B432DD" w:rsidRPr="00211D94">
        <w:rPr>
          <w:rFonts w:cs="Arial"/>
          <w:szCs w:val="24"/>
          <w:lang w:eastAsia="pl-PL"/>
        </w:rPr>
        <w:t>ki</w:t>
      </w:r>
      <w:r w:rsidRPr="00211D94">
        <w:rPr>
          <w:rFonts w:cs="Arial"/>
          <w:szCs w:val="24"/>
          <w:lang w:eastAsia="pl-PL"/>
        </w:rPr>
        <w:t xml:space="preserve"> zasobami i surowcami naturalnymi (ograniczeni</w:t>
      </w:r>
      <w:r w:rsidR="00B432DD" w:rsidRPr="00211D94">
        <w:rPr>
          <w:rFonts w:cs="Arial"/>
          <w:szCs w:val="24"/>
          <w:lang w:eastAsia="pl-PL"/>
        </w:rPr>
        <w:t>a</w:t>
      </w:r>
      <w:r w:rsidRPr="00211D94">
        <w:rPr>
          <w:rFonts w:cs="Arial"/>
          <w:szCs w:val="24"/>
          <w:lang w:eastAsia="pl-PL"/>
        </w:rPr>
        <w:t xml:space="preserve"> wodochłonności, materiałochłonności, transportochłonności i energochłonności procesów produkcyjnych, popraw</w:t>
      </w:r>
      <w:r w:rsidR="00B432DD" w:rsidRPr="00211D94">
        <w:rPr>
          <w:rFonts w:cs="Arial"/>
          <w:szCs w:val="24"/>
          <w:lang w:eastAsia="pl-PL"/>
        </w:rPr>
        <w:t>y</w:t>
      </w:r>
      <w:r w:rsidRPr="00211D94">
        <w:rPr>
          <w:rFonts w:cs="Arial"/>
          <w:szCs w:val="24"/>
          <w:lang w:eastAsia="pl-PL"/>
        </w:rPr>
        <w:t xml:space="preserve"> efektywności energetycznej), wdrażania systemów zarządzania środowiskowego oraz w obszarze przygotowania terenów inwestycyjnych i tworzenia stref przemysłowych, gdzie preferowane będą projekty uwzględniające wymogi kształtowania ładu przestrzennego i niewpływające negatywnie na jakość przestrzeni oraz środowiska, </w:t>
      </w:r>
    </w:p>
    <w:p w14:paraId="4A1D86E3" w14:textId="0254FFF1"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OP3. Edukacja</w:t>
      </w:r>
      <w:r w:rsidR="00E7599C" w:rsidRPr="00211D94">
        <w:rPr>
          <w:rFonts w:cs="Arial"/>
          <w:szCs w:val="24"/>
          <w:lang w:eastAsia="pl-PL"/>
        </w:rPr>
        <w:t xml:space="preserve"> </w:t>
      </w:r>
      <w:r w:rsidRPr="00211D94">
        <w:rPr>
          <w:rFonts w:cs="Arial"/>
          <w:szCs w:val="24"/>
          <w:lang w:eastAsia="pl-PL"/>
        </w:rPr>
        <w:t>/</w:t>
      </w:r>
      <w:r w:rsidR="00E7599C" w:rsidRPr="00211D94">
        <w:rPr>
          <w:rFonts w:cs="Arial"/>
          <w:szCs w:val="24"/>
          <w:lang w:eastAsia="pl-PL"/>
        </w:rPr>
        <w:t xml:space="preserve"> </w:t>
      </w:r>
      <w:r w:rsidRPr="00211D94">
        <w:rPr>
          <w:rFonts w:cs="Arial"/>
          <w:szCs w:val="24"/>
          <w:lang w:eastAsia="pl-PL"/>
        </w:rPr>
        <w:t xml:space="preserve">OP4. Kształcenie zawodowe – w zakresie podnoszenia poziomu kompetencji i umiejętności na każdym etapie kształcenia, </w:t>
      </w:r>
    </w:p>
    <w:p w14:paraId="69CC9CC9" w14:textId="26A956EB"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OP5. Zatrudnienie – w zakresie działań ukierunkowanych na: aktywizację zawodową osób pozostających bez pracy, godzenie życia zawodowego i prywatnego, kształcenie ustawiczne pracowników oraz wsparcie typu </w:t>
      </w:r>
      <w:proofErr w:type="spellStart"/>
      <w:r w:rsidRPr="00211D94">
        <w:rPr>
          <w:rFonts w:cs="Arial"/>
          <w:iCs/>
          <w:szCs w:val="24"/>
          <w:lang w:eastAsia="pl-PL"/>
        </w:rPr>
        <w:t>outplacement</w:t>
      </w:r>
      <w:proofErr w:type="spellEnd"/>
      <w:r w:rsidRPr="00211D94">
        <w:rPr>
          <w:rFonts w:cs="Arial"/>
          <w:iCs/>
          <w:szCs w:val="24"/>
          <w:lang w:eastAsia="pl-PL"/>
        </w:rPr>
        <w:t xml:space="preserve"> </w:t>
      </w:r>
      <w:r w:rsidRPr="00211D94">
        <w:rPr>
          <w:rFonts w:cs="Arial"/>
          <w:szCs w:val="24"/>
          <w:lang w:eastAsia="pl-PL"/>
        </w:rPr>
        <w:t xml:space="preserve">dla osób zagrożonych zwolnieniem oraz osób zwolnionych z pracy z przyczyn dotyczących zakładu pracy, </w:t>
      </w:r>
    </w:p>
    <w:p w14:paraId="69A7C18E" w14:textId="49782C98"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OP6. Integracja – w zakresie aktywizacji społeczno-zawodowej osób dotkniętych i zagrożonych ubóstwem i wykluczeniem społecznym, </w:t>
      </w:r>
    </w:p>
    <w:p w14:paraId="63B94C0F" w14:textId="2253980A"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OP7. Zdrowie i Opieka – w zakresie zapewnienia dostępu do wysokiej jakości usług zdrowotnych i społecznych, </w:t>
      </w:r>
    </w:p>
    <w:p w14:paraId="56A7D5BB" w14:textId="7BFC82C8"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OP8. Konwersja – w zakresie kompleksowej rewitalizacji zdegradowanych obszarów w miastach oraz wykorzystania walorów regionalnego dziedzictwa przyrodniczego i kulturowego, </w:t>
      </w:r>
    </w:p>
    <w:p w14:paraId="7FBF518E" w14:textId="213239FB"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OP9. Mobilność – w zakresie niskoemisyjnego transportu miejskiego przyczyniającego się do redukcji negatywnych oddziaływań środowiskowych związanych ze zmniejszeniem zapotrzebowania na wykorzystanie indywidualnych środków transportu samochodowego, a także w zakresie rozbudowy regionalnej infrastruktury transportu kolejowego, </w:t>
      </w:r>
    </w:p>
    <w:p w14:paraId="69A8A0A1" w14:textId="1EE70776"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OP10. Energia – w zakresie efektywności energetycznej, wykorzystania OZE oraz redukcji emisji pozwalających na obniżenie emisji zanieczyszczeń do powietrza, pochodzącej z produkcji energii oraz ograniczenia tzw. niskiej emisji, </w:t>
      </w:r>
    </w:p>
    <w:p w14:paraId="05273DFF" w14:textId="2015F2F7" w:rsidR="00937C58" w:rsidRPr="00211D94" w:rsidRDefault="00937C58" w:rsidP="00970003">
      <w:pPr>
        <w:autoSpaceDE w:val="0"/>
        <w:autoSpaceDN w:val="0"/>
        <w:adjustRightInd w:val="0"/>
        <w:spacing w:before="120" w:after="120"/>
        <w:rPr>
          <w:rFonts w:cs="Arial"/>
          <w:szCs w:val="24"/>
          <w:lang w:eastAsia="pl-PL"/>
        </w:rPr>
      </w:pPr>
      <w:r w:rsidRPr="00211D94">
        <w:rPr>
          <w:rFonts w:cs="Arial"/>
          <w:szCs w:val="24"/>
          <w:lang w:eastAsia="pl-PL"/>
        </w:rPr>
        <w:t xml:space="preserve">OP11. Środowisko – w zakresie odporności na klęski żywiołowe, adaptacji do zmian klimatu, efektywności wykorzystania zasobów w szczególności przygotowania do ponownego użycia i recyklingu odpadów, budowy infrastruktury odbioru i oczyszczania ścieków oraz ochrony różnorodności biologicznej. </w:t>
      </w:r>
    </w:p>
    <w:p w14:paraId="4967B7B3" w14:textId="4A1AEE6A" w:rsidR="002708D0" w:rsidRPr="00211D94" w:rsidRDefault="00214BA9" w:rsidP="00970003">
      <w:pPr>
        <w:spacing w:before="120" w:after="120"/>
        <w:rPr>
          <w:rFonts w:cs="Arial"/>
          <w:kern w:val="24"/>
          <w:szCs w:val="24"/>
        </w:rPr>
      </w:pPr>
      <w:r w:rsidRPr="00211D94">
        <w:rPr>
          <w:rFonts w:cs="Arial"/>
          <w:szCs w:val="24"/>
          <w:shd w:val="clear" w:color="auto" w:fill="FFFFFF"/>
        </w:rPr>
        <w:t>IZ RPO WP zachęcała również beneficjentów do stosowania zasad polityki zielonych zamówień publicznych.</w:t>
      </w:r>
    </w:p>
    <w:p w14:paraId="3F4134F6" w14:textId="50298BD7" w:rsidR="00777F20" w:rsidRPr="00211D94" w:rsidRDefault="00097208" w:rsidP="00F55865">
      <w:pPr>
        <w:pStyle w:val="Nagwek2"/>
        <w:spacing w:before="120" w:after="120"/>
        <w:rPr>
          <w:rFonts w:cs="Arial"/>
          <w:color w:val="FFFFFF" w:themeColor="background1"/>
        </w:rPr>
      </w:pPr>
      <w:bookmarkStart w:id="177" w:name="_Toc214025297"/>
      <w:bookmarkStart w:id="178" w:name="_Hlk212023368"/>
      <w:r w:rsidRPr="00211D94">
        <w:rPr>
          <w:rFonts w:cs="Arial"/>
          <w:color w:val="FFFFFF" w:themeColor="background1"/>
        </w:rPr>
        <w:t xml:space="preserve">11.4. Sprawozdania dotyczące wsparcia wykorzystanego na cele dotyczące zmiany klimatu (art. 50 ust. 4 </w:t>
      </w:r>
      <w:r w:rsidR="00726583" w:rsidRPr="00211D94">
        <w:rPr>
          <w:rFonts w:cs="Arial"/>
          <w:color w:val="FFFFFF" w:themeColor="background1"/>
        </w:rPr>
        <w:t>rozporządzenia ogólnego</w:t>
      </w:r>
      <w:r w:rsidRPr="00211D94">
        <w:rPr>
          <w:rFonts w:cs="Arial"/>
          <w:color w:val="FFFFFF" w:themeColor="background1"/>
        </w:rPr>
        <w:t>)</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3698"/>
        <w:gridCol w:w="3014"/>
      </w:tblGrid>
      <w:tr w:rsidR="00D108E9" w:rsidRPr="00211D94" w14:paraId="34EE0448" w14:textId="77777777" w:rsidTr="002E31EC">
        <w:tc>
          <w:tcPr>
            <w:tcW w:w="2350" w:type="dxa"/>
            <w:shd w:val="clear" w:color="auto" w:fill="auto"/>
            <w:vAlign w:val="center"/>
          </w:tcPr>
          <w:bookmarkEnd w:id="178"/>
          <w:p w14:paraId="026A6A52" w14:textId="77777777" w:rsidR="00D108E9" w:rsidRPr="00211D94" w:rsidRDefault="00D108E9" w:rsidP="00F55865">
            <w:pPr>
              <w:spacing w:before="120" w:after="120"/>
              <w:jc w:val="center"/>
              <w:rPr>
                <w:rFonts w:cs="Arial"/>
              </w:rPr>
            </w:pPr>
            <w:r w:rsidRPr="00211D94">
              <w:rPr>
                <w:rFonts w:cs="Arial"/>
              </w:rPr>
              <w:t>Oś Priorytetowa</w:t>
            </w:r>
          </w:p>
        </w:tc>
        <w:tc>
          <w:tcPr>
            <w:tcW w:w="3698" w:type="dxa"/>
            <w:shd w:val="clear" w:color="auto" w:fill="auto"/>
            <w:vAlign w:val="center"/>
          </w:tcPr>
          <w:p w14:paraId="477D7B25" w14:textId="77777777" w:rsidR="00D108E9" w:rsidRPr="00211D94" w:rsidRDefault="00D108E9" w:rsidP="00F55865">
            <w:pPr>
              <w:spacing w:before="120" w:after="120"/>
              <w:jc w:val="center"/>
              <w:rPr>
                <w:rFonts w:cs="Arial"/>
              </w:rPr>
            </w:pPr>
            <w:r w:rsidRPr="00211D94">
              <w:rPr>
                <w:rFonts w:cs="Arial"/>
              </w:rPr>
              <w:t>Kwota środków wykorzystana na cele dotyczące zmiany klimatu</w:t>
            </w:r>
          </w:p>
        </w:tc>
        <w:tc>
          <w:tcPr>
            <w:tcW w:w="3014" w:type="dxa"/>
            <w:shd w:val="clear" w:color="auto" w:fill="auto"/>
            <w:vAlign w:val="center"/>
          </w:tcPr>
          <w:p w14:paraId="33EA0C7E" w14:textId="77777777" w:rsidR="00D108E9" w:rsidRPr="00211D94" w:rsidRDefault="00D108E9" w:rsidP="00F55865">
            <w:pPr>
              <w:spacing w:before="120" w:after="120"/>
              <w:jc w:val="center"/>
              <w:rPr>
                <w:rFonts w:cs="Arial"/>
              </w:rPr>
            </w:pPr>
            <w:r w:rsidRPr="00211D94">
              <w:rPr>
                <w:rFonts w:cs="Arial"/>
              </w:rPr>
              <w:t>Udział w całkowitej alokacji Programu</w:t>
            </w:r>
          </w:p>
        </w:tc>
      </w:tr>
      <w:tr w:rsidR="00B864CC" w:rsidRPr="00211D94" w14:paraId="6E3CB3AC" w14:textId="77777777" w:rsidTr="002E31EC">
        <w:tc>
          <w:tcPr>
            <w:tcW w:w="2350" w:type="dxa"/>
            <w:shd w:val="clear" w:color="auto" w:fill="auto"/>
          </w:tcPr>
          <w:p w14:paraId="2A271513" w14:textId="77777777" w:rsidR="00B864CC" w:rsidRPr="00211D94" w:rsidRDefault="00B864CC" w:rsidP="00B864CC">
            <w:pPr>
              <w:spacing w:before="120" w:after="120"/>
              <w:jc w:val="center"/>
              <w:rPr>
                <w:rFonts w:cs="Arial"/>
              </w:rPr>
            </w:pPr>
            <w:r w:rsidRPr="00211D94">
              <w:rPr>
                <w:rFonts w:cs="Arial"/>
              </w:rPr>
              <w:t>2</w:t>
            </w:r>
          </w:p>
        </w:tc>
        <w:tc>
          <w:tcPr>
            <w:tcW w:w="3698" w:type="dxa"/>
            <w:shd w:val="clear" w:color="auto" w:fill="auto"/>
          </w:tcPr>
          <w:p w14:paraId="3860485A" w14:textId="22ABC709" w:rsidR="00B864CC" w:rsidRPr="00211D94" w:rsidRDefault="00B864CC" w:rsidP="00B864CC">
            <w:pPr>
              <w:spacing w:before="120" w:after="120"/>
              <w:jc w:val="right"/>
              <w:rPr>
                <w:rFonts w:cs="Arial"/>
              </w:rPr>
            </w:pPr>
            <w:r w:rsidRPr="00211D94">
              <w:t>6 531 272,48</w:t>
            </w:r>
          </w:p>
        </w:tc>
        <w:tc>
          <w:tcPr>
            <w:tcW w:w="3014" w:type="dxa"/>
            <w:shd w:val="clear" w:color="auto" w:fill="auto"/>
          </w:tcPr>
          <w:p w14:paraId="60C4855A" w14:textId="0CB89F51" w:rsidR="00B864CC" w:rsidRPr="00211D94" w:rsidRDefault="00B864CC" w:rsidP="00B864CC">
            <w:pPr>
              <w:spacing w:before="120" w:after="120"/>
              <w:jc w:val="right"/>
              <w:rPr>
                <w:rFonts w:cs="Arial"/>
              </w:rPr>
            </w:pPr>
            <w:r w:rsidRPr="00211D94">
              <w:t>4,1%</w:t>
            </w:r>
          </w:p>
        </w:tc>
      </w:tr>
      <w:tr w:rsidR="00B864CC" w:rsidRPr="00211D94" w14:paraId="46A97E53" w14:textId="77777777" w:rsidTr="002E31EC">
        <w:tc>
          <w:tcPr>
            <w:tcW w:w="2350" w:type="dxa"/>
            <w:shd w:val="clear" w:color="auto" w:fill="auto"/>
          </w:tcPr>
          <w:p w14:paraId="29C5AF7E" w14:textId="77777777" w:rsidR="00B864CC" w:rsidRPr="00211D94" w:rsidRDefault="00B864CC" w:rsidP="00B864CC">
            <w:pPr>
              <w:spacing w:before="120" w:after="120"/>
              <w:jc w:val="center"/>
              <w:rPr>
                <w:rFonts w:cs="Arial"/>
              </w:rPr>
            </w:pPr>
            <w:r w:rsidRPr="00211D94">
              <w:rPr>
                <w:rFonts w:cs="Arial"/>
              </w:rPr>
              <w:t>8</w:t>
            </w:r>
          </w:p>
        </w:tc>
        <w:tc>
          <w:tcPr>
            <w:tcW w:w="3698" w:type="dxa"/>
            <w:shd w:val="clear" w:color="auto" w:fill="auto"/>
          </w:tcPr>
          <w:p w14:paraId="1FEA3EBB" w14:textId="0D48907E" w:rsidR="00B864CC" w:rsidRPr="00211D94" w:rsidRDefault="00B864CC" w:rsidP="00B864CC">
            <w:pPr>
              <w:spacing w:before="120" w:after="120"/>
              <w:jc w:val="right"/>
              <w:rPr>
                <w:rFonts w:cs="Arial"/>
              </w:rPr>
            </w:pPr>
            <w:r w:rsidRPr="00211D94">
              <w:t>33 801 830,88</w:t>
            </w:r>
          </w:p>
        </w:tc>
        <w:tc>
          <w:tcPr>
            <w:tcW w:w="3014" w:type="dxa"/>
            <w:shd w:val="clear" w:color="auto" w:fill="auto"/>
          </w:tcPr>
          <w:p w14:paraId="78754A1F" w14:textId="1538E276" w:rsidR="00B864CC" w:rsidRPr="00211D94" w:rsidRDefault="00B864CC" w:rsidP="00B864CC">
            <w:pPr>
              <w:spacing w:before="120" w:after="120"/>
              <w:jc w:val="right"/>
              <w:rPr>
                <w:rFonts w:cs="Arial"/>
              </w:rPr>
            </w:pPr>
            <w:r w:rsidRPr="00211D94">
              <w:t>21,2%</w:t>
            </w:r>
          </w:p>
        </w:tc>
      </w:tr>
      <w:tr w:rsidR="00B864CC" w:rsidRPr="00211D94" w14:paraId="33427509" w14:textId="77777777" w:rsidTr="002E31EC">
        <w:tc>
          <w:tcPr>
            <w:tcW w:w="2350" w:type="dxa"/>
            <w:shd w:val="clear" w:color="auto" w:fill="auto"/>
          </w:tcPr>
          <w:p w14:paraId="6F6001C1" w14:textId="77777777" w:rsidR="00B864CC" w:rsidRPr="00211D94" w:rsidRDefault="00B864CC" w:rsidP="00B864CC">
            <w:pPr>
              <w:spacing w:before="120" w:after="120"/>
              <w:jc w:val="center"/>
              <w:rPr>
                <w:rFonts w:cs="Arial"/>
              </w:rPr>
            </w:pPr>
            <w:r w:rsidRPr="00211D94">
              <w:rPr>
                <w:rFonts w:cs="Arial"/>
              </w:rPr>
              <w:t>9</w:t>
            </w:r>
          </w:p>
        </w:tc>
        <w:tc>
          <w:tcPr>
            <w:tcW w:w="3698" w:type="dxa"/>
            <w:shd w:val="clear" w:color="auto" w:fill="auto"/>
          </w:tcPr>
          <w:p w14:paraId="51302D84" w14:textId="3EA60878" w:rsidR="00B864CC" w:rsidRPr="00211D94" w:rsidRDefault="00B864CC" w:rsidP="00B864CC">
            <w:pPr>
              <w:spacing w:before="120" w:after="120"/>
              <w:jc w:val="right"/>
              <w:rPr>
                <w:rFonts w:cs="Arial"/>
              </w:rPr>
            </w:pPr>
            <w:r w:rsidRPr="00211D94">
              <w:t>108 301 046,42</w:t>
            </w:r>
          </w:p>
        </w:tc>
        <w:tc>
          <w:tcPr>
            <w:tcW w:w="3014" w:type="dxa"/>
            <w:shd w:val="clear" w:color="auto" w:fill="auto"/>
          </w:tcPr>
          <w:p w14:paraId="404F0A14" w14:textId="436CF16E" w:rsidR="00B864CC" w:rsidRPr="00211D94" w:rsidRDefault="00B864CC" w:rsidP="00B864CC">
            <w:pPr>
              <w:spacing w:before="120" w:after="120"/>
              <w:jc w:val="right"/>
              <w:rPr>
                <w:rFonts w:cs="Arial"/>
              </w:rPr>
            </w:pPr>
            <w:r w:rsidRPr="00211D94">
              <w:t>29,3%</w:t>
            </w:r>
          </w:p>
        </w:tc>
      </w:tr>
      <w:tr w:rsidR="00B864CC" w:rsidRPr="00211D94" w14:paraId="191E87DB" w14:textId="77777777" w:rsidTr="002E31EC">
        <w:tc>
          <w:tcPr>
            <w:tcW w:w="2350" w:type="dxa"/>
            <w:shd w:val="clear" w:color="auto" w:fill="auto"/>
          </w:tcPr>
          <w:p w14:paraId="1790B6F5" w14:textId="77777777" w:rsidR="00B864CC" w:rsidRPr="00211D94" w:rsidRDefault="00B864CC" w:rsidP="00B864CC">
            <w:pPr>
              <w:spacing w:before="120" w:after="120"/>
              <w:jc w:val="center"/>
              <w:rPr>
                <w:rFonts w:cs="Arial"/>
              </w:rPr>
            </w:pPr>
            <w:r w:rsidRPr="00211D94">
              <w:rPr>
                <w:rFonts w:cs="Arial"/>
              </w:rPr>
              <w:t>10</w:t>
            </w:r>
          </w:p>
        </w:tc>
        <w:tc>
          <w:tcPr>
            <w:tcW w:w="3698" w:type="dxa"/>
            <w:shd w:val="clear" w:color="auto" w:fill="auto"/>
          </w:tcPr>
          <w:p w14:paraId="25C7A2EE" w14:textId="7CAE3DBB" w:rsidR="00B864CC" w:rsidRPr="00211D94" w:rsidRDefault="00B864CC" w:rsidP="00B864CC">
            <w:pPr>
              <w:spacing w:before="120" w:after="120"/>
              <w:jc w:val="right"/>
              <w:rPr>
                <w:rFonts w:cs="Arial"/>
              </w:rPr>
            </w:pPr>
            <w:r w:rsidRPr="00211D94">
              <w:t>257 567 966,16</w:t>
            </w:r>
          </w:p>
        </w:tc>
        <w:tc>
          <w:tcPr>
            <w:tcW w:w="3014" w:type="dxa"/>
            <w:shd w:val="clear" w:color="auto" w:fill="auto"/>
          </w:tcPr>
          <w:p w14:paraId="76C25AB3" w14:textId="1A2189FC" w:rsidR="00B864CC" w:rsidRPr="00211D94" w:rsidRDefault="00B864CC" w:rsidP="00B864CC">
            <w:pPr>
              <w:spacing w:before="120" w:after="120"/>
              <w:jc w:val="right"/>
              <w:rPr>
                <w:rFonts w:cs="Arial"/>
              </w:rPr>
            </w:pPr>
            <w:r w:rsidRPr="00211D94">
              <w:t>115,2%</w:t>
            </w:r>
          </w:p>
        </w:tc>
      </w:tr>
      <w:tr w:rsidR="00B864CC" w:rsidRPr="00211D94" w14:paraId="254FE330" w14:textId="77777777" w:rsidTr="002E31EC">
        <w:tc>
          <w:tcPr>
            <w:tcW w:w="2350" w:type="dxa"/>
            <w:shd w:val="clear" w:color="auto" w:fill="auto"/>
          </w:tcPr>
          <w:p w14:paraId="434E95BB" w14:textId="77777777" w:rsidR="00B864CC" w:rsidRPr="00211D94" w:rsidRDefault="00B864CC" w:rsidP="00B864CC">
            <w:pPr>
              <w:spacing w:before="120" w:after="120"/>
              <w:jc w:val="center"/>
              <w:rPr>
                <w:rFonts w:cs="Arial"/>
              </w:rPr>
            </w:pPr>
            <w:r w:rsidRPr="00211D94">
              <w:rPr>
                <w:rFonts w:cs="Arial"/>
              </w:rPr>
              <w:t>11</w:t>
            </w:r>
          </w:p>
        </w:tc>
        <w:tc>
          <w:tcPr>
            <w:tcW w:w="3698" w:type="dxa"/>
            <w:shd w:val="clear" w:color="auto" w:fill="auto"/>
          </w:tcPr>
          <w:p w14:paraId="38D2F11D" w14:textId="7A3584F0" w:rsidR="00B864CC" w:rsidRPr="00211D94" w:rsidRDefault="00B864CC" w:rsidP="00B864CC">
            <w:pPr>
              <w:spacing w:before="120" w:after="120"/>
              <w:jc w:val="right"/>
              <w:rPr>
                <w:rFonts w:cs="Arial"/>
              </w:rPr>
            </w:pPr>
            <w:r w:rsidRPr="00211D94">
              <w:t>55 789 633,28</w:t>
            </w:r>
          </w:p>
        </w:tc>
        <w:tc>
          <w:tcPr>
            <w:tcW w:w="3014" w:type="dxa"/>
            <w:shd w:val="clear" w:color="auto" w:fill="auto"/>
          </w:tcPr>
          <w:p w14:paraId="0F78B8A2" w14:textId="34D6F82E" w:rsidR="00B864CC" w:rsidRPr="00211D94" w:rsidRDefault="00B864CC" w:rsidP="00B864CC">
            <w:pPr>
              <w:spacing w:before="120" w:after="120"/>
              <w:jc w:val="right"/>
              <w:rPr>
                <w:rFonts w:cs="Arial"/>
              </w:rPr>
            </w:pPr>
            <w:r w:rsidRPr="00211D94">
              <w:t>46,1%</w:t>
            </w:r>
          </w:p>
        </w:tc>
      </w:tr>
      <w:tr w:rsidR="00B864CC" w:rsidRPr="00211D94" w14:paraId="5B21A974" w14:textId="77777777" w:rsidTr="002E31EC">
        <w:tc>
          <w:tcPr>
            <w:tcW w:w="2350" w:type="dxa"/>
            <w:shd w:val="clear" w:color="auto" w:fill="auto"/>
          </w:tcPr>
          <w:p w14:paraId="3E5E4EAD" w14:textId="703F4D8F" w:rsidR="00B864CC" w:rsidRPr="00211D94" w:rsidRDefault="00B864CC" w:rsidP="00B864CC">
            <w:pPr>
              <w:spacing w:before="120" w:after="120"/>
              <w:jc w:val="center"/>
              <w:rPr>
                <w:rFonts w:cs="Arial"/>
              </w:rPr>
            </w:pPr>
            <w:r w:rsidRPr="00211D94">
              <w:rPr>
                <w:rFonts w:cs="Arial"/>
              </w:rPr>
              <w:t>13</w:t>
            </w:r>
          </w:p>
        </w:tc>
        <w:tc>
          <w:tcPr>
            <w:tcW w:w="3698" w:type="dxa"/>
            <w:shd w:val="clear" w:color="auto" w:fill="auto"/>
          </w:tcPr>
          <w:p w14:paraId="42FD1F29" w14:textId="17A24512" w:rsidR="00B864CC" w:rsidRPr="00211D94" w:rsidRDefault="00B864CC" w:rsidP="00B864CC">
            <w:pPr>
              <w:spacing w:before="120" w:after="120"/>
              <w:jc w:val="right"/>
              <w:rPr>
                <w:rFonts w:cs="Arial"/>
              </w:rPr>
            </w:pPr>
            <w:r w:rsidRPr="00211D94">
              <w:t>7 243 718,56</w:t>
            </w:r>
          </w:p>
        </w:tc>
        <w:tc>
          <w:tcPr>
            <w:tcW w:w="3014" w:type="dxa"/>
            <w:shd w:val="clear" w:color="auto" w:fill="auto"/>
          </w:tcPr>
          <w:p w14:paraId="03A13958" w14:textId="136CB4BA" w:rsidR="00B864CC" w:rsidRPr="00211D94" w:rsidRDefault="00B864CC" w:rsidP="00B864CC">
            <w:pPr>
              <w:spacing w:before="120" w:after="120"/>
              <w:jc w:val="right"/>
              <w:rPr>
                <w:rFonts w:cs="Arial"/>
              </w:rPr>
            </w:pPr>
            <w:r w:rsidRPr="00211D94">
              <w:t>28,0%</w:t>
            </w:r>
          </w:p>
        </w:tc>
      </w:tr>
      <w:tr w:rsidR="00B864CC" w:rsidRPr="00211D94" w14:paraId="5BFC1B4C" w14:textId="77777777" w:rsidTr="002E31EC">
        <w:tc>
          <w:tcPr>
            <w:tcW w:w="2350" w:type="dxa"/>
            <w:shd w:val="clear" w:color="auto" w:fill="auto"/>
          </w:tcPr>
          <w:p w14:paraId="04CB7518" w14:textId="77777777" w:rsidR="00B864CC" w:rsidRPr="00211D94" w:rsidRDefault="00B864CC" w:rsidP="00B864CC">
            <w:pPr>
              <w:spacing w:before="120" w:after="120"/>
              <w:jc w:val="center"/>
              <w:rPr>
                <w:rFonts w:cs="Arial"/>
                <w:b/>
              </w:rPr>
            </w:pPr>
            <w:r w:rsidRPr="00211D94">
              <w:rPr>
                <w:rFonts w:cs="Arial"/>
                <w:b/>
              </w:rPr>
              <w:t>Ogółem</w:t>
            </w:r>
          </w:p>
        </w:tc>
        <w:tc>
          <w:tcPr>
            <w:tcW w:w="3698" w:type="dxa"/>
            <w:shd w:val="clear" w:color="auto" w:fill="auto"/>
          </w:tcPr>
          <w:p w14:paraId="0C57C63B" w14:textId="3817B808" w:rsidR="00B864CC" w:rsidRPr="00211D94" w:rsidRDefault="00B864CC" w:rsidP="00B864CC">
            <w:pPr>
              <w:spacing w:before="120" w:after="120"/>
              <w:jc w:val="right"/>
              <w:rPr>
                <w:rFonts w:cs="Arial"/>
                <w:b/>
              </w:rPr>
            </w:pPr>
            <w:r w:rsidRPr="00211D94">
              <w:rPr>
                <w:b/>
              </w:rPr>
              <w:t>469 235 467,79</w:t>
            </w:r>
          </w:p>
        </w:tc>
        <w:tc>
          <w:tcPr>
            <w:tcW w:w="3014" w:type="dxa"/>
            <w:shd w:val="clear" w:color="auto" w:fill="auto"/>
          </w:tcPr>
          <w:p w14:paraId="1E5C74DE" w14:textId="5A8904CC" w:rsidR="00B864CC" w:rsidRPr="00211D94" w:rsidRDefault="00B864CC" w:rsidP="00B864CC">
            <w:pPr>
              <w:spacing w:before="120" w:after="120"/>
              <w:jc w:val="right"/>
              <w:rPr>
                <w:rFonts w:cs="Arial"/>
                <w:b/>
              </w:rPr>
            </w:pPr>
            <w:r w:rsidRPr="00211D94">
              <w:rPr>
                <w:b/>
              </w:rPr>
              <w:t>24,8%</w:t>
            </w:r>
          </w:p>
        </w:tc>
      </w:tr>
    </w:tbl>
    <w:p w14:paraId="30FC6668" w14:textId="6847FE3A" w:rsidR="00697880" w:rsidRPr="00211D94" w:rsidRDefault="00697880" w:rsidP="00697880">
      <w:pPr>
        <w:spacing w:before="120" w:after="120"/>
        <w:rPr>
          <w:rFonts w:cs="Arial"/>
          <w:szCs w:val="24"/>
        </w:rPr>
      </w:pPr>
      <w:r w:rsidRPr="00211D94">
        <w:t xml:space="preserve">W ramach realizacji RPO WP planowano przeznaczyć 21,3% alokacji Programu </w:t>
      </w:r>
      <w:r w:rsidRPr="00211D94">
        <w:rPr>
          <w:rFonts w:cs="Arial"/>
          <w:szCs w:val="24"/>
        </w:rPr>
        <w:t>(402</w:t>
      </w:r>
      <w:r w:rsidR="005A1CDC" w:rsidRPr="00211D94">
        <w:rPr>
          <w:rFonts w:cs="Arial"/>
          <w:szCs w:val="24"/>
        </w:rPr>
        <w:t> </w:t>
      </w:r>
      <w:r w:rsidRPr="00211D94">
        <w:rPr>
          <w:rFonts w:cs="Arial"/>
          <w:szCs w:val="24"/>
        </w:rPr>
        <w:t>782 342 EUR) n</w:t>
      </w:r>
      <w:r w:rsidRPr="00211D94">
        <w:t>a działania związane z przeciwdziałaniem zmianom klimatu.</w:t>
      </w:r>
      <w:r w:rsidRPr="00211D94">
        <w:rPr>
          <w:rFonts w:cs="Arial"/>
          <w:szCs w:val="24"/>
        </w:rPr>
        <w:t xml:space="preserve"> Ostatecznie wsparcie skierowane na cele klimatyczne wyniosło </w:t>
      </w:r>
      <w:r w:rsidR="00B864CC" w:rsidRPr="00211D94">
        <w:rPr>
          <w:rFonts w:cs="Arial"/>
          <w:b/>
          <w:szCs w:val="24"/>
        </w:rPr>
        <w:t>24,8</w:t>
      </w:r>
      <w:r w:rsidRPr="00211D94">
        <w:rPr>
          <w:rFonts w:cs="Arial"/>
          <w:b/>
          <w:szCs w:val="24"/>
        </w:rPr>
        <w:t>%</w:t>
      </w:r>
      <w:r w:rsidRPr="00211D94">
        <w:rPr>
          <w:rFonts w:cs="Arial"/>
          <w:szCs w:val="24"/>
        </w:rPr>
        <w:t xml:space="preserve"> alokacji, obejmując zarówno inwestycje adaptacyjne, jak i działania łagodzące skutki zmian klimatu. Realizowane projekty dotyczyły m.in. ochrony przed powodziami, lokalnymi podtopieniami i suszami, poprawy efektywności systemów zagospodarowania wód opadowych i roztopowych oraz wdrażania małej retencji wodnej, co przyczyniło się do poprawy warunków gruntowo-wodnych i ograniczenia skutków ekstremalnych opadów.</w:t>
      </w:r>
    </w:p>
    <w:p w14:paraId="106533DE" w14:textId="12F79190" w:rsidR="00697880" w:rsidRPr="00211D94" w:rsidRDefault="00697880" w:rsidP="00697880">
      <w:pPr>
        <w:spacing w:before="120" w:after="120"/>
        <w:rPr>
          <w:rFonts w:cs="Arial"/>
          <w:szCs w:val="24"/>
        </w:rPr>
      </w:pPr>
      <w:r w:rsidRPr="00211D94">
        <w:rPr>
          <w:rFonts w:cs="Arial"/>
          <w:szCs w:val="24"/>
        </w:rPr>
        <w:t>Działania wspierały także ochronę walorów przyrodniczych i krajobrazowych regionu, w tym ukierunkowanie ruchu turystycznego na obszarach chronionych oraz ochronę jezior i ich ekosystemów. Wsparcie obejmowało projekty edukacyjne i informacyjne, które podnosiły świadomość ekologiczną mieszkańców oraz promowały zrównoważony rozwój i przeciwdziałanie zmianom klimatu. Jednocześnie wykorzystano potencjał województwa w zakresie odnawialnych źródeł energii, co skutkowało zwiększeniem mocy zainstalowanej w źródłach OZE oraz poprawą stanu technicznego systemu elektroenergetycznego, wspierając realizację pakietu klimatyczno-energetycznego UE.</w:t>
      </w:r>
    </w:p>
    <w:p w14:paraId="41C02679" w14:textId="4C0726C1" w:rsidR="001A795E" w:rsidRPr="00211D94" w:rsidRDefault="00697880" w:rsidP="00697880">
      <w:pPr>
        <w:spacing w:before="120" w:after="120"/>
        <w:rPr>
          <w:rFonts w:cs="Arial"/>
          <w:szCs w:val="24"/>
        </w:rPr>
      </w:pPr>
      <w:r w:rsidRPr="00211D94">
        <w:rPr>
          <w:rFonts w:cs="Arial"/>
          <w:szCs w:val="24"/>
        </w:rPr>
        <w:t>Efektem realizowanych działań było zwiększenie zdolności produkcji energii odnawialnej, poprawa funkcjonowania systemu elektroenergetycznego, ograniczenie skutków ekstremalnych zjawisk pogodowych, wzmocnienie ochrony przyrody i krajobrazu oraz poprawa jakości wód powierzchniowych. Dodatkowo wzrosła świadomość ekologiczna mieszkańców, co przyczyniło się do transformacji energetycznej regionu i realizacji celów neutralności klimatycznej zgodnie z założeniami Europejskiego Zielonego Ładu. W procesie wdrażania uwzględniono także krajowe strategie adaptacji do zmian klimatu, w tym Strategiczny plan adaptacji dla sektorów i obszarów wrażliwych na zmiany klimatu do 2020 roku z perspektywą do 2030 roku.</w:t>
      </w:r>
    </w:p>
    <w:p w14:paraId="43998F98" w14:textId="0FD9E017" w:rsidR="006C18D9" w:rsidRPr="00211D94" w:rsidRDefault="00B94FC5" w:rsidP="00F55865">
      <w:pPr>
        <w:pStyle w:val="Nagwek2"/>
        <w:spacing w:before="120" w:after="120"/>
        <w:rPr>
          <w:rStyle w:val="bold"/>
          <w:rFonts w:eastAsia="Calibri" w:cs="Arial"/>
          <w:bCs w:val="0"/>
          <w:iCs w:val="0"/>
          <w:color w:val="FFFFFF" w:themeColor="background1"/>
          <w:sz w:val="24"/>
          <w:szCs w:val="22"/>
        </w:rPr>
      </w:pPr>
      <w:bookmarkStart w:id="179" w:name="_Toc214025298"/>
      <w:r w:rsidRPr="00211D94">
        <w:rPr>
          <w:rFonts w:cs="Arial"/>
          <w:color w:val="FFFFFF" w:themeColor="background1"/>
        </w:rPr>
        <w:t>11.5</w:t>
      </w:r>
      <w:r w:rsidR="002755EE" w:rsidRPr="00211D94">
        <w:rPr>
          <w:rFonts w:cs="Arial"/>
          <w:color w:val="FFFFFF" w:themeColor="background1"/>
        </w:rPr>
        <w:t>.</w:t>
      </w:r>
      <w:r w:rsidRPr="00211D94">
        <w:rPr>
          <w:rFonts w:cs="Arial"/>
          <w:color w:val="FFFFFF" w:themeColor="background1"/>
        </w:rPr>
        <w:t xml:space="preserve"> </w:t>
      </w:r>
      <w:r w:rsidR="006C18D9" w:rsidRPr="00211D94">
        <w:rPr>
          <w:rFonts w:cs="Arial"/>
          <w:color w:val="FFFFFF" w:themeColor="background1"/>
        </w:rPr>
        <w:t xml:space="preserve">Rola partnerów we wdrażaniu programu (art. 50 ust. 4 i art. 111 ust. 3 akapit pierwszy lit. c) rozporządzenia </w:t>
      </w:r>
      <w:r w:rsidR="00726583" w:rsidRPr="00211D94">
        <w:rPr>
          <w:rFonts w:cs="Arial"/>
          <w:color w:val="FFFFFF" w:themeColor="background1"/>
        </w:rPr>
        <w:t>ogólnego</w:t>
      </w:r>
      <w:r w:rsidR="006C18D9" w:rsidRPr="00211D94">
        <w:rPr>
          <w:rFonts w:cs="Arial"/>
          <w:color w:val="FFFFFF" w:themeColor="background1"/>
        </w:rPr>
        <w:t>)</w:t>
      </w:r>
      <w:bookmarkEnd w:id="179"/>
      <w:r w:rsidR="006C18D9" w:rsidRPr="00211D94">
        <w:rPr>
          <w:rStyle w:val="bold"/>
          <w:rFonts w:cs="Arial"/>
          <w:color w:val="FFFFFF" w:themeColor="background1"/>
        </w:rPr>
        <w:t xml:space="preserve"> </w:t>
      </w:r>
    </w:p>
    <w:p w14:paraId="1D8DD3A5" w14:textId="62D68CA0" w:rsidR="00FF5E97" w:rsidRPr="00211D94" w:rsidRDefault="00FF5E97" w:rsidP="00FF5E97">
      <w:pPr>
        <w:spacing w:before="120" w:after="120"/>
        <w:rPr>
          <w:rFonts w:cs="Arial"/>
          <w:szCs w:val="24"/>
        </w:rPr>
      </w:pPr>
      <w:r w:rsidRPr="00211D94">
        <w:rPr>
          <w:rFonts w:cs="Arial"/>
          <w:szCs w:val="24"/>
        </w:rPr>
        <w:t xml:space="preserve">Podstawowym forum współpracy z partnerami podczas realizacji RPO WP był </w:t>
      </w:r>
      <w:r w:rsidRPr="00211D94">
        <w:rPr>
          <w:rFonts w:cs="Arial"/>
          <w:b/>
          <w:bCs/>
          <w:szCs w:val="24"/>
        </w:rPr>
        <w:t>Komitet Monitorujący RPO WP</w:t>
      </w:r>
      <w:r w:rsidRPr="00211D94">
        <w:rPr>
          <w:rFonts w:cs="Arial"/>
          <w:szCs w:val="24"/>
        </w:rPr>
        <w:t>, powołany uchwałą ZWP nr 188/19/15 z 26 lutego 2015 r. Jego skład i zasady działania były zgodne z rozporządzeniem delegowanym Komisji (UE) nr 240/2014 z dnia 7 stycznia 2014 r. w sprawie europejskiego kodeksu postępowania w zakresie partnerstwa w ramach europejskich funduszy strukturalnych i inwestycyjnych, a także z Wytycznymi w zakresie komitetów monitorujących na lata 2014–2020. KM liczył 45 członków: 10 z administracji rządowej i 17 z samorząd terytorialnego, 18 przedstawicieli spoza administracji publicznej, w tym 8 reprezentantów organizacji pozarządowych. Każdy członek miał zastępcę, a w pracach uczestniczyli także obserwatorzy i przedstawiciele Komisji Europejskiej.</w:t>
      </w:r>
    </w:p>
    <w:p w14:paraId="64FD134B" w14:textId="59214A7D" w:rsidR="00FF5E97" w:rsidRPr="00211D94" w:rsidRDefault="00FF5E97" w:rsidP="00FF5E97">
      <w:pPr>
        <w:spacing w:before="120" w:after="120"/>
        <w:rPr>
          <w:rFonts w:cs="Arial"/>
          <w:szCs w:val="24"/>
        </w:rPr>
      </w:pPr>
      <w:r w:rsidRPr="00211D94">
        <w:rPr>
          <w:rFonts w:cs="Arial"/>
          <w:szCs w:val="24"/>
        </w:rPr>
        <w:t>Do końca 2025 r. odbyło się 20 posiedzeń Komitetu, w tym dwa dwudniowe, oraz warsztaty przygotowawcze. Dokumenty przesyłano członkom co najmniej 10 dni roboczych przed posiedzeniem, a zgłaszane uwagi analizowano i poddawano głosowaniu. Frekwencja na posiedzeniach była bardzo wysoka. Większość uchwał dotyczyła kryteriów wyboru projektów, przyjmowanych sukcesywnie dla poszczególnych działań i poddziałań, co umożliwiało członkom szczegółowe zapoznanie się z ich treścią. KM rozpatrywał m. in. plan ewaluacji, strategię komunikacji, wdrażanie instrumentów finansowych, sprawozdania roczne z realizacji RPO WP a także regularnie zapoznawał się ze stanem realizacji ZIT. Informacje o działalności Komitetu publikowano na stronie internetowej RPO WP http://www.rpo.pomorskie.eu/komitet-monitorujacy.</w:t>
      </w:r>
    </w:p>
    <w:p w14:paraId="69566D77" w14:textId="535804A1" w:rsidR="00FF5E97" w:rsidRPr="00211D94" w:rsidRDefault="00FF5E97" w:rsidP="00F55865">
      <w:pPr>
        <w:spacing w:before="120" w:after="120"/>
        <w:rPr>
          <w:rFonts w:cs="Arial"/>
          <w:szCs w:val="24"/>
        </w:rPr>
      </w:pPr>
      <w:r w:rsidRPr="00211D94">
        <w:rPr>
          <w:rFonts w:cs="Arial"/>
          <w:szCs w:val="24"/>
        </w:rPr>
        <w:t xml:space="preserve">Komitet Monitorujący pełnił kluczową rolę </w:t>
      </w:r>
      <w:r w:rsidRPr="00211D94">
        <w:rPr>
          <w:rFonts w:cs="Arial"/>
          <w:b/>
          <w:bCs/>
          <w:szCs w:val="24"/>
        </w:rPr>
        <w:t>partnera we wdrażaniu programu</w:t>
      </w:r>
      <w:r w:rsidRPr="00211D94">
        <w:rPr>
          <w:rFonts w:cs="Arial"/>
          <w:szCs w:val="24"/>
        </w:rPr>
        <w:t>. Był forum dialogu i współpracy pomiędzy instytucjami zarządzającymi, administracją publiczną, organizacjami pozarządowymi oraz partnerami społecznymi i gospodarczymi. Nadzorował przebieg realizacji RPO WP, zatwierdzał kryteria wyboru projektów, monitorował postępy wdrażania oraz oceniał efektywność działań, dbając o przestrzeganie zasad partnerstwa, równości i przejrzystości. Dzięki jego pracy partnerzy mieli realny wpływ na kształt i realizację programu.</w:t>
      </w:r>
    </w:p>
    <w:p w14:paraId="464E5067" w14:textId="1006A0E0" w:rsidR="006F3EBC" w:rsidRPr="00211D94" w:rsidRDefault="006F3EBC" w:rsidP="00F55865">
      <w:pPr>
        <w:spacing w:before="120" w:after="120"/>
        <w:rPr>
          <w:rFonts w:cs="Arial"/>
          <w:szCs w:val="24"/>
        </w:rPr>
      </w:pPr>
      <w:r w:rsidRPr="00211D94">
        <w:rPr>
          <w:rFonts w:cs="Arial"/>
          <w:szCs w:val="24"/>
        </w:rPr>
        <w:t>W przypadku instrumentów finansowych wdrażanych w ramach RPO WP organem wspomagającym proces ich wdrażania i koordynacji była Pomorska Rada Inwestycyjna do spraw Instrumentów Zwrotnych. Powołana przez ZWP i działająca w latach 2017-2023 r. była kolegialnym organem doradczo-konsultacyjnym, wspierającym ZWP w podejmowaniu decyzji dotyczących instrumentów zwrotnych. Do zadań Rady Inwestycyjnej w szczególności należał przegląd i opiniowanie propozycji aktualizacji strategii inwestycyjnej dot. instrumentów finansowych, opiniowanie postępu realizacji strategii inwestycyjnych, opiniowanie harmonogramów uruchamiania produktów finansowych oraz opiniowanie warunków, zasad i dokumentacji dotyczącej wyboru pośredników finansowych, w tym parametrów ustanawianych instrumentów finansowych. W powyższym zakresie Rada spotykała się na posiedzeniach oraz pracowała w trybie obiegowym i w tym zakresie wydawała rekomendacje przedstawiane ZWP.</w:t>
      </w:r>
    </w:p>
    <w:p w14:paraId="45F8429D" w14:textId="0C0D8ECB" w:rsidR="00AB37A0" w:rsidRPr="00211D94" w:rsidRDefault="00AB37A0" w:rsidP="00F55865">
      <w:pPr>
        <w:spacing w:before="120" w:after="120"/>
        <w:rPr>
          <w:rFonts w:cs="Arial"/>
          <w:szCs w:val="24"/>
        </w:rPr>
      </w:pPr>
      <w:r w:rsidRPr="00211D94">
        <w:rPr>
          <w:rFonts w:cs="Arial"/>
          <w:szCs w:val="24"/>
        </w:rPr>
        <w:t>Ponadto w ramach Pomorskiego Systemu Monitoringu i Ewaluacji (PSME) SWP we współpracy z wieloma organizacjami i instytucjami zaangażowanymi w rozwój województwa pomorskiego skupiają wiedzę o regionie poprzez integrowanie i koordynowanie działań monitoringowych i ewaluacyjnych.</w:t>
      </w:r>
    </w:p>
    <w:p w14:paraId="61EE6D6F" w14:textId="5F1D53E5" w:rsidR="002755EE" w:rsidRPr="00211D94" w:rsidRDefault="00C36BE6" w:rsidP="00F55865">
      <w:pPr>
        <w:pStyle w:val="Nagwek1"/>
        <w:spacing w:before="120" w:after="120"/>
        <w:rPr>
          <w:rStyle w:val="bold"/>
          <w:rFonts w:eastAsia="Calibri" w:cs="Arial"/>
          <w:bCs w:val="0"/>
          <w:color w:val="FFFFFF" w:themeColor="background1"/>
          <w:kern w:val="0"/>
          <w:sz w:val="24"/>
          <w:szCs w:val="22"/>
        </w:rPr>
      </w:pPr>
      <w:bookmarkStart w:id="180" w:name="_Toc214025299"/>
      <w:r w:rsidRPr="00211D94">
        <w:rPr>
          <w:rFonts w:cs="Arial"/>
          <w:color w:val="FFFFFF" w:themeColor="background1"/>
        </w:rPr>
        <w:t>12</w:t>
      </w:r>
      <w:r w:rsidR="00BB5CD5" w:rsidRPr="00211D94">
        <w:rPr>
          <w:rFonts w:cs="Arial"/>
          <w:color w:val="FFFFFF" w:themeColor="background1"/>
        </w:rPr>
        <w:t xml:space="preserve">. Obowiązkowe informacje i ocena zgodnie z art. </w:t>
      </w:r>
      <w:r w:rsidRPr="00211D94">
        <w:rPr>
          <w:rFonts w:cs="Arial"/>
          <w:color w:val="FFFFFF" w:themeColor="background1"/>
        </w:rPr>
        <w:t xml:space="preserve">111 </w:t>
      </w:r>
      <w:r w:rsidR="00BB5CD5" w:rsidRPr="00211D94">
        <w:rPr>
          <w:rFonts w:cs="Arial"/>
          <w:color w:val="FFFFFF" w:themeColor="background1"/>
        </w:rPr>
        <w:t>ust</w:t>
      </w:r>
      <w:r w:rsidRPr="00211D94">
        <w:rPr>
          <w:rFonts w:cs="Arial"/>
          <w:color w:val="FFFFFF" w:themeColor="background1"/>
        </w:rPr>
        <w:t xml:space="preserve">. 4 akapit pierwszy lit. a) i b) </w:t>
      </w:r>
      <w:r w:rsidR="00BB5CD5" w:rsidRPr="00211D94">
        <w:rPr>
          <w:rFonts w:cs="Arial"/>
          <w:color w:val="FFFFFF" w:themeColor="background1"/>
        </w:rPr>
        <w:t>rozporządzenia</w:t>
      </w:r>
      <w:r w:rsidRPr="00211D94">
        <w:rPr>
          <w:rFonts w:cs="Arial"/>
          <w:color w:val="FFFFFF" w:themeColor="background1"/>
        </w:rPr>
        <w:t xml:space="preserve"> </w:t>
      </w:r>
      <w:r w:rsidR="00726583" w:rsidRPr="00211D94">
        <w:rPr>
          <w:rFonts w:cs="Arial"/>
          <w:color w:val="FFFFFF" w:themeColor="background1"/>
        </w:rPr>
        <w:t>ogólnego</w:t>
      </w:r>
      <w:bookmarkEnd w:id="180"/>
    </w:p>
    <w:p w14:paraId="12E91C5C" w14:textId="77777777" w:rsidR="00C36BE6" w:rsidRPr="00211D94" w:rsidRDefault="00C36BE6" w:rsidP="00F55865">
      <w:pPr>
        <w:pStyle w:val="Nagwek2"/>
        <w:spacing w:before="120" w:after="120"/>
        <w:rPr>
          <w:rStyle w:val="bold"/>
          <w:rFonts w:cs="Arial"/>
          <w:iCs w:val="0"/>
          <w:color w:val="FFFFFF" w:themeColor="background1"/>
          <w:kern w:val="32"/>
          <w:sz w:val="32"/>
          <w:szCs w:val="32"/>
        </w:rPr>
      </w:pPr>
      <w:bookmarkStart w:id="181" w:name="_Toc214025300"/>
      <w:r w:rsidRPr="00211D94">
        <w:rPr>
          <w:rFonts w:cs="Arial"/>
          <w:color w:val="FFFFFF" w:themeColor="background1"/>
        </w:rPr>
        <w:t>12.1. Postępy w realizacji planu ewaluacji oraz wykorzystanie wyników ewaluacji</w:t>
      </w:r>
      <w:bookmarkEnd w:id="181"/>
    </w:p>
    <w:p w14:paraId="5ED103A2" w14:textId="15B5339A" w:rsidR="008C6CE6" w:rsidRPr="00211D94" w:rsidRDefault="008C6CE6" w:rsidP="00F55865">
      <w:pPr>
        <w:spacing w:before="120" w:after="120"/>
        <w:rPr>
          <w:rFonts w:cs="Arial"/>
          <w:szCs w:val="24"/>
        </w:rPr>
      </w:pPr>
      <w:r w:rsidRPr="00211D94">
        <w:rPr>
          <w:rFonts w:cs="Arial"/>
          <w:szCs w:val="24"/>
        </w:rPr>
        <w:t xml:space="preserve">Realizacja Planu Ewaluacji RPO przebiegała systematycznie i zgodnie z przyjętymi założeniami. Obejmowała zarówno badania o charakterze ex </w:t>
      </w:r>
      <w:proofErr w:type="spellStart"/>
      <w:r w:rsidRPr="00211D94">
        <w:rPr>
          <w:rFonts w:cs="Arial"/>
          <w:szCs w:val="24"/>
        </w:rPr>
        <w:t>ante</w:t>
      </w:r>
      <w:proofErr w:type="spellEnd"/>
      <w:r w:rsidRPr="00211D94">
        <w:rPr>
          <w:rFonts w:cs="Arial"/>
          <w:szCs w:val="24"/>
        </w:rPr>
        <w:t xml:space="preserve"> i on-</w:t>
      </w:r>
      <w:proofErr w:type="spellStart"/>
      <w:r w:rsidRPr="00211D94">
        <w:rPr>
          <w:rFonts w:cs="Arial"/>
          <w:szCs w:val="24"/>
        </w:rPr>
        <w:t>going</w:t>
      </w:r>
      <w:proofErr w:type="spellEnd"/>
      <w:r w:rsidRPr="00211D94">
        <w:rPr>
          <w:rFonts w:cs="Arial"/>
          <w:szCs w:val="24"/>
        </w:rPr>
        <w:t>, jak i ewaluacje ex post, pozwalające na pełne uchwycenie cyklu polityki publicznej – od planowania, przez wdrażanie, aż po ocenę trwałości efektów. Dzięki temu udało się stworzyć spójną bazę wiedzy, wykorzystywaną zarówno do bieżących modyfikacji Programu, jak i do programowania perspektywy 2021–2027. W rezultacie ewaluacje stały się nie tylko narzędziem oceny, ale także praktycznym wsparciem procesu decyzyjnego, umożliwiającym lepsze dostosowanie interwencji do potrzeb regionu i zmian społeczno-ekonomicznych.</w:t>
      </w:r>
    </w:p>
    <w:p w14:paraId="13855105" w14:textId="592583AD" w:rsidR="008C6CE6" w:rsidRPr="00211D94" w:rsidRDefault="008C6CE6" w:rsidP="00F55865">
      <w:pPr>
        <w:spacing w:before="120" w:after="120"/>
        <w:rPr>
          <w:rFonts w:cs="Arial"/>
          <w:szCs w:val="24"/>
        </w:rPr>
      </w:pPr>
      <w:r w:rsidRPr="00211D94">
        <w:rPr>
          <w:rFonts w:cs="Arial"/>
          <w:szCs w:val="24"/>
        </w:rPr>
        <w:t>W pierwszych latach Plan koncentrował się na analizie doświadczeń z poprzedniej perspektywy (2007–2013). Wyniki tych badań potwierdziły słuszność przyjętych kierunków interwencji oraz adekwatność systemu wyboru projektów. Wnioski posłużyły do dostosowania kryteriów oceny w RPO, co zwiększyło transparentność i spójność procesu naboru. Dodatkowo ewaluacja wpływu na realizację Strategii Europa 2020 wykazała, że Program wpisuje się w cele europejskie, co potwierdziło poprawność jego założeń i wskazało kierunki dalszego rozwoju w zgodzie z polityką unijną.</w:t>
      </w:r>
    </w:p>
    <w:p w14:paraId="7C81E742" w14:textId="232C9ECB" w:rsidR="008C6CE6" w:rsidRPr="00211D94" w:rsidRDefault="008C6CE6" w:rsidP="00F55865">
      <w:pPr>
        <w:spacing w:before="120" w:after="120"/>
        <w:rPr>
          <w:rFonts w:cs="Arial"/>
          <w:szCs w:val="24"/>
        </w:rPr>
      </w:pPr>
      <w:r w:rsidRPr="00211D94">
        <w:rPr>
          <w:rFonts w:cs="Arial"/>
          <w:szCs w:val="24"/>
        </w:rPr>
        <w:t>Kolejnym etapem były badania śródokresowe, które oceniły stan kontraktacji, system instytucjonalny oraz skuteczność wdrażania instrumentów finansowych. Wnioski były istotne zarówno dla modyfikacji wskaźników i alokacji w RPO, jak i dla rozszerzenia interwencji o nowe działania, np. w zakresie usług rozwojowych i kompetencji cyfrowych. Podkreślały także znaczenie narzędzi terytorialnych – ZIT, ZPT oraz przedsięwzięć strategicznych – jako instrumentów zwiększających skuteczność Programu i zapewniających równomierne rozłożenie wsparcia w regionie. Wyniki te pozwoliły również na lepsze zidentyfikowanie obszarów wymagających wzmocnienia, zarówno pod względem infrastrukturalnym, jak i społecznym.</w:t>
      </w:r>
    </w:p>
    <w:p w14:paraId="1E91C2E5" w14:textId="77777777" w:rsidR="008C6CE6" w:rsidRPr="00211D94" w:rsidRDefault="008C6CE6" w:rsidP="00F55865">
      <w:pPr>
        <w:spacing w:before="120" w:after="120"/>
        <w:rPr>
          <w:rFonts w:cs="Arial"/>
          <w:szCs w:val="24"/>
        </w:rPr>
      </w:pPr>
      <w:r w:rsidRPr="00211D94">
        <w:rPr>
          <w:rFonts w:cs="Arial"/>
          <w:szCs w:val="24"/>
        </w:rPr>
        <w:t>W latach 2022–2024 przeprowadzono kluczowy blok ewaluacji ex post, które oceniły efekty interwencji w poszczególnych obszarach tematycznych. Wyniki potwierdziły trwałość i skuteczność wsparcia oraz dostarczyły rekomendacji mających bezpośredni wpływ na FEP 2021–2027. W obszarze rynku pracy i włączenia społecznego ewaluacje wykazały, że interwencje EFS skutecznie wspierały osoby bezrobotne, zagrożone biernością zawodową oraz rodziców powracających na rynek pracy. Ponad dwie trzecie uczestników projektów znalazło zatrudnienie po sześciu miesiącach, co przewyższało zakładane wartości docelowe. Utrzymanie trwałości miejsc opieki przedszkolnej i żłobkowej potwierdziło użyteczność interwencji, a dodatkowe analizy wykazały, że wsparcie miało istotny wpływ na zwiększenie stabilności ekonomicznej rodzin. Na tej podstawie w FEP 2021–2027 wzmocniono wsparcie usług społecznych i zindywidualizowanych form aktywizacji, uwzględniając różnorodne potrzeby mieszkańców.</w:t>
      </w:r>
    </w:p>
    <w:p w14:paraId="58EE7EAA" w14:textId="77777777" w:rsidR="008C6CE6" w:rsidRPr="00211D94" w:rsidRDefault="008C6CE6" w:rsidP="00F55865">
      <w:pPr>
        <w:spacing w:before="120" w:after="120"/>
        <w:rPr>
          <w:rFonts w:cs="Arial"/>
          <w:szCs w:val="24"/>
        </w:rPr>
      </w:pPr>
      <w:r w:rsidRPr="00211D94">
        <w:rPr>
          <w:rFonts w:cs="Arial"/>
          <w:szCs w:val="24"/>
        </w:rPr>
        <w:t xml:space="preserve">Badania w obszarze zdrowia i e-zdrowia dowiodły, że projekty profilaktyczne i rehabilitacyjne przyczyniały się do utrzymania aktywności zawodowej, a inwestycje w cyfryzację placówek zwiększyły odporność systemu ochrony zdrowia. Rekomendacje dotyczyły dalszej integracji systemów informatycznych, rozwoju </w:t>
      </w:r>
      <w:proofErr w:type="spellStart"/>
      <w:r w:rsidRPr="00211D94">
        <w:rPr>
          <w:rFonts w:cs="Arial"/>
          <w:szCs w:val="24"/>
        </w:rPr>
        <w:t>telemedycyny</w:t>
      </w:r>
      <w:proofErr w:type="spellEnd"/>
      <w:r w:rsidRPr="00211D94">
        <w:rPr>
          <w:rFonts w:cs="Arial"/>
          <w:szCs w:val="24"/>
        </w:rPr>
        <w:t xml:space="preserve"> i wsparcia opieki geriatrycznej – wszystkie te elementy uwzględniono w nowej perspektywie, co pozwalało na bardziej kompleksowe i zintegrowane podejście do potrzeb pacjentów.</w:t>
      </w:r>
    </w:p>
    <w:p w14:paraId="507E37CB" w14:textId="77777777" w:rsidR="008C6CE6" w:rsidRPr="00211D94" w:rsidRDefault="008C6CE6" w:rsidP="00F55865">
      <w:pPr>
        <w:spacing w:before="120" w:after="120"/>
        <w:rPr>
          <w:rFonts w:cs="Arial"/>
          <w:szCs w:val="24"/>
        </w:rPr>
      </w:pPr>
      <w:r w:rsidRPr="00211D94">
        <w:rPr>
          <w:rFonts w:cs="Arial"/>
          <w:szCs w:val="24"/>
        </w:rPr>
        <w:t>Edukacja była kolejnym obszarem szczegółowej oceny. Ewaluacje wykazały, że przedsięwzięcia strategiczne w edukacji przedszkolnej i zawodowej podniosły jakość kształcenia oraz umożliwiły lepsze dopasowanie do potrzeb rynku pracy. Rekomendacje dotyczące kontynuacji i poszerzenia wsparcia w zakresie infrastruktury edukacyjnej zostały w całości zaimplementowane w FEP 2021–2027, przewidując dodatkowe działania w obszarach o najniższym dostępie do edukacji przedszkolnej. Ewaluacje wykazały również znaczenie rozwoju kompetencji cyfrowych i praktyk zawodowych w szkołach średnich i wyższych, co przyczyniło się do lepszego przygotowania młodzieży do wymagań rynku pracy.</w:t>
      </w:r>
    </w:p>
    <w:p w14:paraId="152F4023" w14:textId="77777777" w:rsidR="008C6CE6" w:rsidRPr="00211D94" w:rsidRDefault="008C6CE6" w:rsidP="00F55865">
      <w:pPr>
        <w:spacing w:before="120" w:after="120"/>
        <w:rPr>
          <w:rFonts w:cs="Arial"/>
          <w:szCs w:val="24"/>
        </w:rPr>
      </w:pPr>
      <w:r w:rsidRPr="00211D94">
        <w:rPr>
          <w:rFonts w:cs="Arial"/>
          <w:szCs w:val="24"/>
        </w:rPr>
        <w:t>W zakresie innowacji i przedsiębiorczości ewaluacje potwierdziły, że interwencje zwiększyły aktywność B+R przedsiębiorstw, poprawiły ich konkurencyjność oraz przyczyniły się do wzrostu eksportu. Działania otoczenia biznesu, w tym Pomorski Broker Eksportowy czy SPEKTRUM, okazały się trafnymi rozwiązaniami systemowymi. Działania następcze obejmowały przesunięcia alokacji na wsparcie płynnościowe MŚP w czasie pandemii oraz przygotowanie nowych, bardziej elastycznych instrumentów finansowych w FEP 2021–2027, co umożliwiło szybką reakcję na zmieniające się warunki gospodarcze.</w:t>
      </w:r>
    </w:p>
    <w:p w14:paraId="50BC4CF0" w14:textId="77777777" w:rsidR="008C6CE6" w:rsidRPr="00211D94" w:rsidRDefault="008C6CE6" w:rsidP="00F55865">
      <w:pPr>
        <w:spacing w:before="120" w:after="120"/>
        <w:rPr>
          <w:rFonts w:cs="Arial"/>
          <w:szCs w:val="24"/>
        </w:rPr>
      </w:pPr>
      <w:r w:rsidRPr="00211D94">
        <w:rPr>
          <w:rFonts w:cs="Arial"/>
          <w:szCs w:val="24"/>
        </w:rPr>
        <w:t>W obszarze transportu ewaluacje wykazały poprawę jakości i integracji systemu komunikacyjnego Pomorza. Badania energetyczne i środowiskowe potwierdziły efekty w zakresie redukcji emisji, rozwoju OZE i ochrony przyrody. Rekomendacje wskazywały na potrzebę dalszej modernizacji sieci ciepłowniczych, wspierania prosumentów oraz rozwijania zielonej mobilności – wnioski te zostały uwzględnione w FEP 2021–2027, zapewniając spójność działań infrastrukturalnych z polityką klimatyczną i zrównoważonego rozwoju.</w:t>
      </w:r>
    </w:p>
    <w:p w14:paraId="3069CF0D" w14:textId="6638F931" w:rsidR="00886FF8" w:rsidRPr="00211D94" w:rsidRDefault="008C6CE6" w:rsidP="00F55865">
      <w:pPr>
        <w:spacing w:before="120" w:after="120"/>
        <w:rPr>
          <w:rFonts w:cs="Arial"/>
          <w:szCs w:val="24"/>
        </w:rPr>
      </w:pPr>
      <w:r w:rsidRPr="00211D94">
        <w:rPr>
          <w:rFonts w:cs="Arial"/>
          <w:szCs w:val="24"/>
        </w:rPr>
        <w:t xml:space="preserve">Szczególną uwagę poświęcono instrumentom finansowym. Od pierwszej oceny ex </w:t>
      </w:r>
      <w:proofErr w:type="spellStart"/>
      <w:r w:rsidRPr="00211D94">
        <w:rPr>
          <w:rFonts w:cs="Arial"/>
          <w:szCs w:val="24"/>
        </w:rPr>
        <w:t>ante</w:t>
      </w:r>
      <w:proofErr w:type="spellEnd"/>
      <w:r w:rsidRPr="00211D94">
        <w:rPr>
          <w:rFonts w:cs="Arial"/>
          <w:szCs w:val="24"/>
        </w:rPr>
        <w:t xml:space="preserve"> po kolejne aktualizacje, badania konsekwentnie potwierdzały ich rolę jako efektywnego uzupełnienia dotacji. Rekomendacje dotyczyły skrócenia okresów zapadalności pożyczek, rozwijania instrumentów poręczeniowych oraz utrzymania elastyczności w reagowaniu na sytuacje kryzysowe. W efekcie IZ wprowadziła zmiany w Strategii Inwestycyjnej, a w FEP 2021–2027 zaplanowano szersze zastosowanie zwrotnych form wsparcia, szczególnie w obszarze energetyki, przedsiębiorczości i </w:t>
      </w:r>
      <w:r w:rsidR="00886FF8" w:rsidRPr="00211D94">
        <w:rPr>
          <w:rFonts w:cs="Arial"/>
          <w:szCs w:val="24"/>
        </w:rPr>
        <w:t xml:space="preserve">transformacji w kierunku gospodarki o obiegu zamkniętym. </w:t>
      </w:r>
    </w:p>
    <w:p w14:paraId="5A66CD50" w14:textId="5A72F738" w:rsidR="008C6CE6" w:rsidRPr="00211D94" w:rsidRDefault="008C6CE6" w:rsidP="00F55865">
      <w:pPr>
        <w:spacing w:before="120" w:after="120"/>
        <w:rPr>
          <w:rFonts w:cs="Arial"/>
          <w:szCs w:val="24"/>
        </w:rPr>
      </w:pPr>
      <w:r w:rsidRPr="00211D94">
        <w:rPr>
          <w:rFonts w:cs="Arial"/>
          <w:szCs w:val="24"/>
        </w:rPr>
        <w:t>Wszystkie badania zaplanowane w Planie Ewaluacji zostały zrealizowane. Ewaluacje obejmowały szerokie spektrum tematyczne i dostarczyły wniosków, które w znacznym stopniu przełożono na działania następcze. W wielu przypadkach rekomendacje zostały uwzględnione niemal bezpośrednio w zapisach FEP 2021–2027 – dotyczy to usług społecznych, edukacji, e-zdrowia, instrumentów finansowych oraz rozwoju OZE. Bieżące wykorzystanie ustaleń pozwalało korygować realizację RPO i reagować na nieprzewidziane okoliczności, jak pandemia COVID-19 czy kryzys migracyjny, zwiększając odporność systemu na sytuacje kryzysowe.</w:t>
      </w:r>
    </w:p>
    <w:p w14:paraId="13F1B184" w14:textId="22D983BF" w:rsidR="00777F20" w:rsidRPr="00211D94" w:rsidRDefault="008C6CE6" w:rsidP="00F55865">
      <w:pPr>
        <w:spacing w:before="120" w:after="120"/>
        <w:rPr>
          <w:rStyle w:val="bold"/>
          <w:rFonts w:cs="Arial"/>
          <w:bCs/>
          <w:iCs/>
          <w:sz w:val="28"/>
          <w:szCs w:val="24"/>
        </w:rPr>
      </w:pPr>
      <w:r w:rsidRPr="00211D94">
        <w:rPr>
          <w:rFonts w:cs="Arial"/>
          <w:szCs w:val="24"/>
        </w:rPr>
        <w:t>Podsumowując, wdrażanie Planu Ewaluacji RPO można ocenić jako konsekwentne, skuteczne i efektywne. Ewaluacje były nie tylko narzędziem kontroli, ale także realnym wsparciem w zarządzaniu Programem i przygotowywaniu nowej perspektywy. Dzięki nim województwo pomorskie wzmocniło zdolność prowadzenia polityki opartej na dowodach, a działania następcze pokazują praktyczne przełożenie wyników badań na poprawę jakości interwencji publicznych. Plan Ewaluacji stał się istotnym elementem procesu uczenia się instytucji i źródłem wartości dodanej dla mieszkańców regionu, przyczyniając się do długoterminowego wzmocnienia efektywności polityki publicznej.</w:t>
      </w:r>
    </w:p>
    <w:p w14:paraId="3A33E25B" w14:textId="77777777" w:rsidR="00C36BE6" w:rsidRPr="00211D94" w:rsidRDefault="00C36BE6" w:rsidP="00F55865">
      <w:pPr>
        <w:pStyle w:val="Nagwek2"/>
        <w:spacing w:before="120" w:after="120"/>
        <w:rPr>
          <w:rStyle w:val="bold"/>
          <w:rFonts w:eastAsia="Calibri" w:cs="Arial"/>
          <w:bCs w:val="0"/>
          <w:iCs w:val="0"/>
          <w:color w:val="FFFFFF" w:themeColor="background1"/>
          <w:sz w:val="24"/>
          <w:szCs w:val="22"/>
        </w:rPr>
      </w:pPr>
      <w:bookmarkStart w:id="182" w:name="_Toc214025301"/>
      <w:r w:rsidRPr="00211D94">
        <w:rPr>
          <w:rStyle w:val="bold"/>
          <w:rFonts w:cs="Arial"/>
          <w:color w:val="FFFFFF" w:themeColor="background1"/>
        </w:rPr>
        <w:t xml:space="preserve">12.2. </w:t>
      </w:r>
      <w:bookmarkStart w:id="183" w:name="_Hlk207783582"/>
      <w:r w:rsidRPr="00211D94">
        <w:rPr>
          <w:rStyle w:val="bold"/>
          <w:rFonts w:cs="Arial"/>
          <w:color w:val="FFFFFF" w:themeColor="background1"/>
        </w:rPr>
        <w:t>Wyniki działań informacyjnych i promocyjnych funduszy polityki spójności prowadzonych w ramach strategii komunikacji</w:t>
      </w:r>
      <w:bookmarkEnd w:id="183"/>
      <w:bookmarkEnd w:id="182"/>
    </w:p>
    <w:p w14:paraId="0BFC068D" w14:textId="77777777" w:rsidR="00214BA9" w:rsidRPr="00211D94" w:rsidRDefault="00555AA6" w:rsidP="00F55865">
      <w:pPr>
        <w:spacing w:before="120" w:after="120"/>
        <w:rPr>
          <w:rFonts w:cs="Arial"/>
        </w:rPr>
      </w:pPr>
      <w:bookmarkStart w:id="184" w:name="_Hlk207783665"/>
      <w:r w:rsidRPr="00211D94">
        <w:rPr>
          <w:rFonts w:cs="Arial"/>
        </w:rPr>
        <w:t xml:space="preserve">IZ </w:t>
      </w:r>
      <w:r w:rsidR="00214BA9" w:rsidRPr="00211D94">
        <w:rPr>
          <w:rFonts w:cs="Arial"/>
        </w:rPr>
        <w:t xml:space="preserve">RPO realizowała corocznie kampanie informacyjno-promocyjne skierowane do potencjalnych beneficjentów i beneficjentów z różnych grup docelowych (przedsiębiorcy, JST, NGO), a także do mieszkańców woj. pomorskiego. </w:t>
      </w:r>
    </w:p>
    <w:p w14:paraId="5E94179A" w14:textId="403D03CF" w:rsidR="00214BA9" w:rsidRPr="00211D94" w:rsidRDefault="00214BA9" w:rsidP="00F55865">
      <w:pPr>
        <w:spacing w:before="120" w:after="120"/>
        <w:rPr>
          <w:rFonts w:cs="Arial"/>
        </w:rPr>
      </w:pPr>
      <w:r w:rsidRPr="00211D94">
        <w:rPr>
          <w:rFonts w:cs="Arial"/>
        </w:rPr>
        <w:t xml:space="preserve">Dotyczyły one informowania o uruchomionych naborach oraz zachęcały do aplikowania o środki z RPO WP. Działania obejmowały produkcję materiałów filmowych, emisję w TVP Gdańsk, audycje radiowe, emisję spotów radiowych, artykuły prasowe, działania w mediach społecznościowych, organizację spotkań </w:t>
      </w:r>
      <w:r w:rsidRPr="00211D94">
        <w:rPr>
          <w:rFonts w:cs="Arial"/>
        </w:rPr>
        <w:br/>
        <w:t>w terenie, dystrybucję materiałów w wersji papierowej do mieszkańców woj. pomorskiego.</w:t>
      </w:r>
    </w:p>
    <w:p w14:paraId="725A5A9D" w14:textId="77777777" w:rsidR="00214BA9" w:rsidRPr="00211D94" w:rsidRDefault="00214BA9" w:rsidP="00F55865">
      <w:pPr>
        <w:spacing w:before="120" w:after="120"/>
        <w:rPr>
          <w:rFonts w:cs="Arial"/>
        </w:rPr>
      </w:pPr>
      <w:r w:rsidRPr="00211D94">
        <w:rPr>
          <w:rFonts w:cs="Arial"/>
        </w:rPr>
        <w:t xml:space="preserve">Inne działania prowadzone przez IZ RPO WP i IP to m.in.: </w:t>
      </w:r>
    </w:p>
    <w:p w14:paraId="0F5339EA" w14:textId="77777777" w:rsidR="00214BA9" w:rsidRPr="00211D94" w:rsidRDefault="00214BA9" w:rsidP="00F55865">
      <w:pPr>
        <w:numPr>
          <w:ilvl w:val="0"/>
          <w:numId w:val="35"/>
        </w:numPr>
        <w:spacing w:before="120" w:after="120"/>
        <w:rPr>
          <w:rFonts w:cs="Arial"/>
        </w:rPr>
      </w:pPr>
      <w:r w:rsidRPr="00211D94">
        <w:rPr>
          <w:rFonts w:cs="Arial"/>
        </w:rPr>
        <w:t xml:space="preserve">Dni Otwarte Funduszy Europejskich (DOFE), podczas których odbywały się miasteczka, szkolenia, warsztaty, konkursy oraz prezentacje projektów beneficjentów. </w:t>
      </w:r>
    </w:p>
    <w:p w14:paraId="06E189AC" w14:textId="77777777" w:rsidR="00214BA9" w:rsidRPr="00211D94" w:rsidRDefault="00214BA9" w:rsidP="00F55865">
      <w:pPr>
        <w:spacing w:before="120" w:after="120"/>
        <w:rPr>
          <w:rFonts w:cs="Arial"/>
        </w:rPr>
      </w:pPr>
      <w:r w:rsidRPr="00211D94">
        <w:rPr>
          <w:rFonts w:cs="Arial"/>
        </w:rPr>
        <w:t xml:space="preserve">W ich ramach zorganizowano m.in.: miasteczka Funduszy Europejskich, gdzie na stoiskach wystawienniczych Beneficjenci prezentowali swoje projekty, odbywały się konkursy, warsztaty i pokazy; gry i zabawy dla najmłodszych, konkursy wiedzy o UE </w:t>
      </w:r>
      <w:r w:rsidRPr="00211D94">
        <w:rPr>
          <w:rFonts w:cs="Arial"/>
        </w:rPr>
        <w:br/>
        <w:t xml:space="preserve">i FE; otwarcie przez Beneficjentów projektów (możliwość zwiedzania za darmo /ze zniżką obiektów/miejsc dofinansowanych z FE); emisję materiałów audio-wizualnych w Internecie oraz w radio. </w:t>
      </w:r>
    </w:p>
    <w:p w14:paraId="156B3FCA" w14:textId="570D3CFA" w:rsidR="00214BA9" w:rsidRPr="00211D94" w:rsidRDefault="00214BA9" w:rsidP="00F55865">
      <w:pPr>
        <w:spacing w:before="120" w:after="120"/>
        <w:rPr>
          <w:rFonts w:cs="Arial"/>
        </w:rPr>
      </w:pPr>
      <w:r w:rsidRPr="00211D94">
        <w:rPr>
          <w:rFonts w:cs="Arial"/>
        </w:rPr>
        <w:t>Podczas wydarzeń przeprowadz</w:t>
      </w:r>
      <w:r w:rsidR="00726583" w:rsidRPr="00211D94">
        <w:rPr>
          <w:rFonts w:cs="Arial"/>
        </w:rPr>
        <w:t xml:space="preserve">ono </w:t>
      </w:r>
      <w:r w:rsidRPr="00211D94">
        <w:rPr>
          <w:rFonts w:cs="Arial"/>
        </w:rPr>
        <w:t xml:space="preserve">badanie ankietowe mające na celu ocenę skuteczności prowadzonych działań. DOFE uznane zostało za skuteczne i efektywne działanie. </w:t>
      </w:r>
    </w:p>
    <w:p w14:paraId="4E7AD39E" w14:textId="063935B9" w:rsidR="00214BA9" w:rsidRPr="00211D94" w:rsidRDefault="00214BA9" w:rsidP="00F55865">
      <w:pPr>
        <w:numPr>
          <w:ilvl w:val="0"/>
          <w:numId w:val="35"/>
        </w:numPr>
        <w:spacing w:before="120" w:after="120"/>
        <w:rPr>
          <w:rFonts w:cs="Arial"/>
        </w:rPr>
      </w:pPr>
      <w:r w:rsidRPr="00211D94">
        <w:rPr>
          <w:rFonts w:cs="Arial"/>
        </w:rPr>
        <w:t>Organizowano wydarzenia promujące Fundusze Europejskie, w tym spotkania, konferencje tematyczne i pikniki rodzinne.</w:t>
      </w:r>
    </w:p>
    <w:p w14:paraId="591526D1" w14:textId="77777777" w:rsidR="00214BA9" w:rsidRPr="00211D94" w:rsidRDefault="00214BA9" w:rsidP="00F55865">
      <w:pPr>
        <w:numPr>
          <w:ilvl w:val="0"/>
          <w:numId w:val="35"/>
        </w:numPr>
        <w:spacing w:before="120" w:after="120"/>
        <w:rPr>
          <w:rFonts w:cs="Arial"/>
        </w:rPr>
      </w:pPr>
      <w:r w:rsidRPr="00211D94">
        <w:rPr>
          <w:rFonts w:cs="Arial"/>
        </w:rPr>
        <w:t>Na bieżąco aktualizowano informacje o projektach w serwisach Baza Wiedzy oraz Mapa Dotacji UE.</w:t>
      </w:r>
    </w:p>
    <w:p w14:paraId="1B7F18A3" w14:textId="2AC0E6A8" w:rsidR="00214BA9" w:rsidRPr="00211D94" w:rsidRDefault="00214BA9" w:rsidP="00F55865">
      <w:pPr>
        <w:numPr>
          <w:ilvl w:val="0"/>
          <w:numId w:val="35"/>
        </w:numPr>
        <w:spacing w:before="120" w:after="120"/>
        <w:rPr>
          <w:rFonts w:cs="Arial"/>
        </w:rPr>
      </w:pPr>
      <w:r w:rsidRPr="00211D94">
        <w:rPr>
          <w:rFonts w:cs="Arial"/>
        </w:rPr>
        <w:t xml:space="preserve">Szkolenia dla beneficjentów i potencjalnych beneficjentów, które były wysoko oceniane (ankiety ewaluacyjne). Skuteczność szkoleń potwierdza wysoka liczba wniosków składanych w odpowiedzi na konkursy. Analiza ankiet po każdym przeprowadzonym szkoleniu wskazywała, że tematyka szkoleń była bardzo przydatna, a w zajęciach brały udział osoby zainteresowane tematyką danego konkursu. Wszystkie te działania promocyjne przyczyniły się do wzrostu wskaźników świadomości oraz znajomości </w:t>
      </w:r>
      <w:r w:rsidR="00C953F6" w:rsidRPr="00211D94">
        <w:rPr>
          <w:rFonts w:cs="Arial"/>
        </w:rPr>
        <w:t>Funduszy Europejskich</w:t>
      </w:r>
      <w:r w:rsidRPr="00211D94">
        <w:rPr>
          <w:rFonts w:cs="Arial"/>
        </w:rPr>
        <w:t xml:space="preserve"> w regionie. </w:t>
      </w:r>
    </w:p>
    <w:p w14:paraId="75E0F097" w14:textId="3754650C" w:rsidR="00214BA9" w:rsidRPr="00211D94" w:rsidRDefault="00214BA9" w:rsidP="00F55865">
      <w:pPr>
        <w:numPr>
          <w:ilvl w:val="0"/>
          <w:numId w:val="35"/>
        </w:numPr>
        <w:spacing w:before="120" w:after="120"/>
        <w:rPr>
          <w:rFonts w:cs="Arial"/>
        </w:rPr>
      </w:pPr>
      <w:r w:rsidRPr="00211D94">
        <w:rPr>
          <w:rFonts w:cs="Arial"/>
        </w:rPr>
        <w:t xml:space="preserve">Sukcesy i Współpraca z </w:t>
      </w:r>
      <w:r w:rsidR="00C953F6" w:rsidRPr="00211D94">
        <w:rPr>
          <w:rFonts w:cs="Arial"/>
        </w:rPr>
        <w:t>KE</w:t>
      </w:r>
      <w:r w:rsidRPr="00211D94">
        <w:rPr>
          <w:rFonts w:cs="Arial"/>
        </w:rPr>
        <w:t>: Województwo Pomorskie zdobyło 3 prestiżowe nagrody REGIOSTARS – projekty dofinansowane z Funduszy Europejskich w woj</w:t>
      </w:r>
      <w:r w:rsidR="00C953F6" w:rsidRPr="00211D94">
        <w:rPr>
          <w:rFonts w:cs="Arial"/>
        </w:rPr>
        <w:t>ewództwie</w:t>
      </w:r>
      <w:r w:rsidRPr="00211D94">
        <w:rPr>
          <w:rFonts w:cs="Arial"/>
        </w:rPr>
        <w:t xml:space="preserve"> pomorskim.</w:t>
      </w:r>
    </w:p>
    <w:p w14:paraId="517AC6B8" w14:textId="77777777" w:rsidR="00214BA9" w:rsidRPr="00211D94" w:rsidRDefault="00214BA9" w:rsidP="00F55865">
      <w:pPr>
        <w:numPr>
          <w:ilvl w:val="0"/>
          <w:numId w:val="35"/>
        </w:numPr>
        <w:spacing w:before="120" w:after="120"/>
        <w:rPr>
          <w:rFonts w:cs="Arial"/>
        </w:rPr>
      </w:pPr>
      <w:r w:rsidRPr="00211D94">
        <w:rPr>
          <w:rFonts w:cs="Arial"/>
        </w:rPr>
        <w:t xml:space="preserve">Dostosowanie do wyzwań: Na drodze Województwa Pomorskiego pojawiło się wiele wyzwań w związku z pandemią COVID-19 oraz kryzysem na Ukrainie. Region szybko dostosował działania informacyjno-promocyjne, zorganizowano szkolenia online, działania wspierające uchodźców, a także kampanie podkreślające unijną pomoc. IZ RPO w prowadzonych działaniach informowała o dostępnych formach wsparcia dla osób dotkniętych działaniami wojennymi na Ukrainie. </w:t>
      </w:r>
    </w:p>
    <w:p w14:paraId="6E26500A" w14:textId="77777777" w:rsidR="00214BA9" w:rsidRPr="00211D94" w:rsidRDefault="00214BA9" w:rsidP="00F55865">
      <w:pPr>
        <w:numPr>
          <w:ilvl w:val="0"/>
          <w:numId w:val="35"/>
        </w:numPr>
        <w:spacing w:before="120" w:after="120"/>
        <w:rPr>
          <w:rFonts w:cs="Arial"/>
        </w:rPr>
      </w:pPr>
      <w:r w:rsidRPr="00211D94">
        <w:rPr>
          <w:rFonts w:cs="Arial"/>
        </w:rPr>
        <w:t xml:space="preserve">Organizacja wizyt studyjnych dla przedstawicieli Ukrainy w związku </w:t>
      </w:r>
      <w:r w:rsidRPr="00211D94">
        <w:rPr>
          <w:rFonts w:cs="Arial"/>
        </w:rPr>
        <w:br/>
        <w:t>z planowanym wejściem Ukrainy do Unii Europejskiej.</w:t>
      </w:r>
    </w:p>
    <w:p w14:paraId="4ED98F9C" w14:textId="77777777" w:rsidR="00214BA9" w:rsidRPr="00211D94" w:rsidRDefault="00214BA9" w:rsidP="00F55865">
      <w:pPr>
        <w:numPr>
          <w:ilvl w:val="0"/>
          <w:numId w:val="35"/>
        </w:numPr>
        <w:spacing w:before="120" w:after="120"/>
        <w:rPr>
          <w:rFonts w:cs="Arial"/>
        </w:rPr>
      </w:pPr>
      <w:r w:rsidRPr="00211D94">
        <w:rPr>
          <w:rFonts w:cs="Arial"/>
        </w:rPr>
        <w:t>Przedstawiciele RPO aktywnie uczestniczyli w spotkaniach Sieci INFORM-EU.</w:t>
      </w:r>
    </w:p>
    <w:p w14:paraId="0B6736CE" w14:textId="78557BBC" w:rsidR="00214BA9" w:rsidRPr="00211D94" w:rsidRDefault="00214BA9" w:rsidP="00F55865">
      <w:pPr>
        <w:spacing w:before="120" w:after="120"/>
        <w:rPr>
          <w:rFonts w:cs="Arial"/>
        </w:rPr>
      </w:pPr>
      <w:r w:rsidRPr="00211D94">
        <w:rPr>
          <w:rFonts w:cs="Arial"/>
        </w:rPr>
        <w:t>Realizacja Strategii Komunikacji RPO WP była skuteczna i efektywna, co potwierdzają wzrosty wskaźników świadomościowych oraz liczne nagrody i wyróżnienia. Działania edukacyjne, promocyjne i informacyjne, w tym szkolenia, wydarzenia oraz kampanie medialne, przyczyniły się do zwiększenia zaangażowania mieszkańców i beneficjentów w projekty współfinansowane z Funduszy Europejskich, a także pozytywnie wpłynęły na rozwój regionu.</w:t>
      </w:r>
    </w:p>
    <w:p w14:paraId="7EB33F68" w14:textId="74CFB54B" w:rsidR="00C36BE6" w:rsidRPr="00211D94" w:rsidRDefault="00C36BE6" w:rsidP="00F55865">
      <w:pPr>
        <w:pStyle w:val="Nagwek1"/>
        <w:spacing w:before="120" w:after="120"/>
        <w:rPr>
          <w:rStyle w:val="bold"/>
          <w:rFonts w:eastAsia="Calibri" w:cs="Arial"/>
          <w:b/>
          <w:bCs w:val="0"/>
          <w:color w:val="FFFFFF" w:themeColor="background1"/>
          <w:kern w:val="0"/>
          <w:sz w:val="24"/>
          <w:szCs w:val="24"/>
        </w:rPr>
      </w:pPr>
      <w:bookmarkStart w:id="185" w:name="_Toc214025302"/>
      <w:bookmarkEnd w:id="184"/>
      <w:r w:rsidRPr="00211D94">
        <w:rPr>
          <w:rFonts w:cs="Arial"/>
          <w:color w:val="FFFFFF" w:themeColor="background1"/>
          <w:szCs w:val="24"/>
        </w:rPr>
        <w:t xml:space="preserve">13. </w:t>
      </w:r>
      <w:r w:rsidR="00BB5CD5" w:rsidRPr="00211D94">
        <w:rPr>
          <w:rFonts w:cs="Arial"/>
          <w:color w:val="FFFFFF" w:themeColor="background1"/>
          <w:szCs w:val="24"/>
        </w:rPr>
        <w:t xml:space="preserve">Działania podjęte w celu spełnienia warunków wstępnych </w:t>
      </w:r>
      <w:r w:rsidRPr="00211D94">
        <w:rPr>
          <w:rFonts w:cs="Arial"/>
          <w:color w:val="FFFFFF" w:themeColor="background1"/>
          <w:szCs w:val="24"/>
        </w:rPr>
        <w:t xml:space="preserve">(art. 50 ust. 4 rozporządzenia </w:t>
      </w:r>
      <w:r w:rsidR="00726583" w:rsidRPr="00211D94">
        <w:rPr>
          <w:rFonts w:cs="Arial"/>
          <w:color w:val="FFFFFF" w:themeColor="background1"/>
          <w:szCs w:val="24"/>
        </w:rPr>
        <w:t>ogólnego</w:t>
      </w:r>
      <w:r w:rsidRPr="00211D94">
        <w:rPr>
          <w:rFonts w:cs="Arial"/>
          <w:color w:val="FFFFFF" w:themeColor="background1"/>
          <w:szCs w:val="24"/>
        </w:rPr>
        <w:t>)</w:t>
      </w:r>
      <w:bookmarkEnd w:id="185"/>
      <w:r w:rsidRPr="00211D94">
        <w:rPr>
          <w:rFonts w:cs="Arial"/>
          <w:color w:val="FFFFFF" w:themeColor="background1"/>
          <w:szCs w:val="24"/>
        </w:rPr>
        <w:t xml:space="preserve"> </w:t>
      </w:r>
    </w:p>
    <w:p w14:paraId="7462404C" w14:textId="77777777" w:rsidR="00AB37A0" w:rsidRPr="00211D94" w:rsidRDefault="00AB37A0" w:rsidP="00F55865">
      <w:pPr>
        <w:spacing w:before="120" w:after="120"/>
        <w:jc w:val="both"/>
        <w:rPr>
          <w:rFonts w:cs="Arial"/>
        </w:rPr>
      </w:pPr>
      <w:r w:rsidRPr="00211D94">
        <w:rPr>
          <w:rFonts w:cs="Arial"/>
        </w:rPr>
        <w:t>Nie dotyczy bieżącego sprawozdania.</w:t>
      </w:r>
    </w:p>
    <w:p w14:paraId="04652820" w14:textId="72523007" w:rsidR="004C7649" w:rsidRPr="00211D94" w:rsidRDefault="004C7649" w:rsidP="00F55865">
      <w:pPr>
        <w:pStyle w:val="Nagwek1"/>
        <w:spacing w:before="120" w:after="120"/>
        <w:rPr>
          <w:rStyle w:val="bold"/>
          <w:rFonts w:eastAsia="Calibri" w:cs="Arial"/>
          <w:b/>
          <w:bCs w:val="0"/>
          <w:color w:val="FFFFFF" w:themeColor="background1"/>
          <w:kern w:val="0"/>
          <w:sz w:val="24"/>
          <w:szCs w:val="24"/>
        </w:rPr>
      </w:pPr>
      <w:bookmarkStart w:id="186" w:name="_Toc214025303"/>
      <w:r w:rsidRPr="00211D94">
        <w:rPr>
          <w:rFonts w:cs="Arial"/>
          <w:color w:val="FFFFFF" w:themeColor="background1"/>
          <w:szCs w:val="24"/>
        </w:rPr>
        <w:t xml:space="preserve">14. </w:t>
      </w:r>
      <w:r w:rsidR="00BB5CD5" w:rsidRPr="00211D94">
        <w:rPr>
          <w:rFonts w:cs="Arial"/>
          <w:color w:val="FFFFFF" w:themeColor="background1"/>
          <w:szCs w:val="24"/>
        </w:rPr>
        <w:t xml:space="preserve">Dodatkowe informacje, które można dołączyć, w zależności od treści i celów programu operacyjnego </w:t>
      </w:r>
      <w:r w:rsidRPr="00211D94">
        <w:rPr>
          <w:rFonts w:cs="Arial"/>
          <w:color w:val="FFFFFF" w:themeColor="background1"/>
          <w:szCs w:val="24"/>
        </w:rPr>
        <w:t xml:space="preserve">(art. 111 ust. 4 akapit drugi lit. a), b), c), d), g) i h) rozporządzenia </w:t>
      </w:r>
      <w:r w:rsidR="00726583" w:rsidRPr="00211D94">
        <w:rPr>
          <w:rFonts w:cs="Arial"/>
          <w:color w:val="FFFFFF" w:themeColor="background1"/>
          <w:szCs w:val="24"/>
        </w:rPr>
        <w:t>ogólnego</w:t>
      </w:r>
      <w:r w:rsidRPr="00211D94">
        <w:rPr>
          <w:rFonts w:cs="Arial"/>
          <w:color w:val="FFFFFF" w:themeColor="background1"/>
          <w:szCs w:val="24"/>
        </w:rPr>
        <w:t>)</w:t>
      </w:r>
      <w:bookmarkEnd w:id="186"/>
      <w:r w:rsidRPr="00211D94">
        <w:rPr>
          <w:rStyle w:val="bold"/>
          <w:rFonts w:cs="Arial"/>
          <w:b/>
          <w:color w:val="FFFFFF" w:themeColor="background1"/>
          <w:szCs w:val="24"/>
        </w:rPr>
        <w:t xml:space="preserve"> </w:t>
      </w:r>
    </w:p>
    <w:p w14:paraId="37C1023B" w14:textId="319FA2FD" w:rsidR="004C7649" w:rsidRPr="00211D94" w:rsidRDefault="004C7649" w:rsidP="00F55865">
      <w:pPr>
        <w:pStyle w:val="Nagwek2"/>
        <w:spacing w:before="120" w:after="120"/>
        <w:rPr>
          <w:rStyle w:val="bold"/>
          <w:rFonts w:cs="Arial"/>
          <w:iCs w:val="0"/>
          <w:color w:val="FFFFFF" w:themeColor="background1"/>
          <w:kern w:val="32"/>
          <w:sz w:val="32"/>
          <w:szCs w:val="32"/>
        </w:rPr>
      </w:pPr>
      <w:bookmarkStart w:id="187" w:name="_Toc214025304"/>
      <w:bookmarkStart w:id="188" w:name="_Hlk212023398"/>
      <w:r w:rsidRPr="00211D94">
        <w:rPr>
          <w:rStyle w:val="bold"/>
          <w:rFonts w:cs="Arial"/>
          <w:color w:val="FFFFFF" w:themeColor="background1"/>
        </w:rPr>
        <w:t>1</w:t>
      </w:r>
      <w:r w:rsidRPr="00211D94">
        <w:rPr>
          <w:rFonts w:cs="Arial"/>
          <w:color w:val="FFFFFF" w:themeColor="background1"/>
        </w:rPr>
        <w:t>4.1</w:t>
      </w:r>
      <w:r w:rsidR="00A30C7A" w:rsidRPr="00211D94">
        <w:rPr>
          <w:rFonts w:cs="Arial"/>
          <w:color w:val="FFFFFF" w:themeColor="background1"/>
        </w:rPr>
        <w:t>.</w:t>
      </w:r>
      <w:r w:rsidRPr="00211D94">
        <w:rPr>
          <w:rFonts w:cs="Arial"/>
          <w:color w:val="FFFFFF" w:themeColor="background1"/>
        </w:rPr>
        <w:t xml:space="preserve"> Postępy w realizacji zintegrowanego podejścia do rozwoju terytorialnego, w tym rozwoju regionów, które cierpią na skutek sytuacji demograficznej oraz stałych lub naturalnych niekorzystnych warunków, </w:t>
      </w:r>
      <w:r w:rsidR="00C2452F" w:rsidRPr="00211D94">
        <w:rPr>
          <w:rFonts w:cs="Arial"/>
          <w:color w:val="FFFFFF" w:themeColor="background1"/>
        </w:rPr>
        <w:t xml:space="preserve">zintegrowanych inwestycji terytorialnych, </w:t>
      </w:r>
      <w:r w:rsidRPr="00211D94">
        <w:rPr>
          <w:rFonts w:cs="Arial"/>
          <w:color w:val="FFFFFF" w:themeColor="background1"/>
        </w:rPr>
        <w:t>zrównoważonego rozwoju obszarów miejskich oraz rozwoju lokalnego kierowanego przez społeczność w ramach programu operacyjnego.</w:t>
      </w:r>
      <w:bookmarkEnd w:id="187"/>
      <w:r w:rsidRPr="00211D94">
        <w:rPr>
          <w:rStyle w:val="bold"/>
          <w:rFonts w:cs="Arial"/>
          <w:color w:val="FFFFFF" w:themeColor="background1"/>
        </w:rPr>
        <w:t xml:space="preserve"> </w:t>
      </w:r>
    </w:p>
    <w:bookmarkEnd w:id="188"/>
    <w:p w14:paraId="5B739653" w14:textId="77777777" w:rsidR="00DF3B4A" w:rsidRPr="00211D94" w:rsidRDefault="00613718" w:rsidP="00F55865">
      <w:pPr>
        <w:autoSpaceDE w:val="0"/>
        <w:autoSpaceDN w:val="0"/>
        <w:adjustRightInd w:val="0"/>
        <w:spacing w:before="120" w:after="120"/>
        <w:rPr>
          <w:rFonts w:cs="Arial"/>
          <w:szCs w:val="24"/>
        </w:rPr>
      </w:pPr>
      <w:r w:rsidRPr="00211D94">
        <w:rPr>
          <w:rFonts w:cs="Arial"/>
          <w:szCs w:val="24"/>
        </w:rPr>
        <w:t xml:space="preserve">W </w:t>
      </w:r>
      <w:r w:rsidR="00DF3B4A" w:rsidRPr="00211D94">
        <w:rPr>
          <w:rFonts w:cs="Arial"/>
          <w:szCs w:val="24"/>
        </w:rPr>
        <w:t>RPO WP zastosowane zostały specyficzne instrumenty terytorialne w dwóch podstawowych formach:</w:t>
      </w:r>
    </w:p>
    <w:p w14:paraId="7C5AC836" w14:textId="77777777" w:rsidR="00DF3B4A" w:rsidRPr="00211D94" w:rsidRDefault="00DF3B4A" w:rsidP="00F55865">
      <w:pPr>
        <w:numPr>
          <w:ilvl w:val="0"/>
          <w:numId w:val="29"/>
        </w:numPr>
        <w:autoSpaceDE w:val="0"/>
        <w:autoSpaceDN w:val="0"/>
        <w:adjustRightInd w:val="0"/>
        <w:spacing w:before="120" w:after="120"/>
        <w:rPr>
          <w:rFonts w:cs="Arial"/>
          <w:szCs w:val="24"/>
        </w:rPr>
      </w:pPr>
      <w:r w:rsidRPr="00211D94">
        <w:rPr>
          <w:rFonts w:cs="Arial"/>
          <w:szCs w:val="24"/>
        </w:rPr>
        <w:t>Zintegrowane Inwestycje Terytorialne (ZIT)</w:t>
      </w:r>
    </w:p>
    <w:p w14:paraId="41BFCC8F" w14:textId="77777777" w:rsidR="00DF3B4A" w:rsidRPr="00211D94" w:rsidRDefault="00DF3B4A" w:rsidP="00F55865">
      <w:pPr>
        <w:autoSpaceDE w:val="0"/>
        <w:autoSpaceDN w:val="0"/>
        <w:adjustRightInd w:val="0"/>
        <w:spacing w:before="120" w:after="120"/>
        <w:rPr>
          <w:rFonts w:cs="Arial"/>
          <w:szCs w:val="24"/>
        </w:rPr>
      </w:pPr>
      <w:r w:rsidRPr="00211D94">
        <w:rPr>
          <w:rFonts w:cs="Arial"/>
          <w:szCs w:val="24"/>
        </w:rPr>
        <w:t>Obszar realizacji ZIT dla Obszaru Metropolitalnego Trójmiasta stanowiły następujące jednostki terytorialne: Gminy miast Gdańsk, Gdynia, Sopot, Hel, Jastarnia, Pruszcz Gdański, Puck, Reda, Rumia, Tczew, Wejherowo, Władysławowo, a także gminy Cedry Wielkie, Kartuzy, Kolbudy, Kosakowo, Luzino, Pruszcz Gdański, Przywidz, Pszczółki, Przodkowo, Puck, Somonino, Stegna, Suchy Dąb, Szemud, Tczew, Trąbki Wielkie, Wejherowo, Żukowo. Realizowane były wyłącznie przedsięwzięcia określone w Strategii ZIT, wprowadzające kompleksowe i spójne dla całego obszaru ZIT rozwiązania. W związku z tym, dla wszystkich obszarów tematycznych realizowany był pozakonkursowy tryb wyboru projektów, który był adekwatny do ww. strategicznego podejścia.</w:t>
      </w:r>
    </w:p>
    <w:p w14:paraId="5566BBCF" w14:textId="5BCEAC2F" w:rsidR="004775DB" w:rsidRPr="00211D94" w:rsidRDefault="00D03C9C" w:rsidP="002F00F9">
      <w:pPr>
        <w:autoSpaceDE w:val="0"/>
        <w:autoSpaceDN w:val="0"/>
        <w:adjustRightInd w:val="0"/>
        <w:spacing w:before="120" w:after="120"/>
        <w:rPr>
          <w:rFonts w:cs="Arial"/>
          <w:szCs w:val="24"/>
        </w:rPr>
      </w:pPr>
      <w:r w:rsidRPr="00211D94">
        <w:rPr>
          <w:rFonts w:cs="Arial"/>
          <w:szCs w:val="24"/>
        </w:rPr>
        <w:t>W ramach mechanizmu ZIT zawarto 1</w:t>
      </w:r>
      <w:r w:rsidR="003607B5" w:rsidRPr="00211D94">
        <w:rPr>
          <w:rFonts w:cs="Arial"/>
          <w:szCs w:val="24"/>
        </w:rPr>
        <w:t>80</w:t>
      </w:r>
      <w:r w:rsidRPr="00211D94">
        <w:rPr>
          <w:rFonts w:cs="Arial"/>
          <w:szCs w:val="24"/>
        </w:rPr>
        <w:t xml:space="preserve"> umów na łączną kwotę</w:t>
      </w:r>
      <w:r w:rsidR="00586523" w:rsidRPr="00211D94">
        <w:rPr>
          <w:rFonts w:cs="Arial"/>
          <w:szCs w:val="24"/>
        </w:rPr>
        <w:t xml:space="preserve"> </w:t>
      </w:r>
      <w:r w:rsidRPr="00211D94">
        <w:rPr>
          <w:rFonts w:cs="Arial"/>
          <w:szCs w:val="24"/>
        </w:rPr>
        <w:t>dofinansowani</w:t>
      </w:r>
      <w:r w:rsidR="00586523" w:rsidRPr="00211D94">
        <w:rPr>
          <w:rFonts w:cs="Arial"/>
          <w:szCs w:val="24"/>
        </w:rPr>
        <w:t>a</w:t>
      </w:r>
      <w:r w:rsidRPr="00211D94">
        <w:rPr>
          <w:rFonts w:cs="Arial"/>
          <w:szCs w:val="24"/>
        </w:rPr>
        <w:t xml:space="preserve"> UE </w:t>
      </w:r>
      <w:r w:rsidR="00586523" w:rsidRPr="00211D94">
        <w:rPr>
          <w:rFonts w:cs="Arial"/>
          <w:b/>
          <w:szCs w:val="24"/>
        </w:rPr>
        <w:t>260,3</w:t>
      </w:r>
      <w:r w:rsidRPr="00211D94">
        <w:rPr>
          <w:rFonts w:cs="Arial"/>
          <w:b/>
          <w:szCs w:val="24"/>
        </w:rPr>
        <w:t xml:space="preserve"> mln EUR</w:t>
      </w:r>
      <w:r w:rsidR="00494943" w:rsidRPr="00211D94">
        <w:rPr>
          <w:rFonts w:cs="Arial"/>
          <w:b/>
          <w:szCs w:val="24"/>
        </w:rPr>
        <w:t xml:space="preserve">, co stanowi </w:t>
      </w:r>
      <w:r w:rsidR="00586523" w:rsidRPr="00211D94">
        <w:rPr>
          <w:rFonts w:cs="Arial"/>
          <w:b/>
          <w:szCs w:val="24"/>
        </w:rPr>
        <w:t>101,1%</w:t>
      </w:r>
      <w:r w:rsidR="00EB3F9E" w:rsidRPr="00211D94">
        <w:rPr>
          <w:rFonts w:cs="Arial"/>
          <w:b/>
          <w:szCs w:val="24"/>
        </w:rPr>
        <w:t xml:space="preserve"> </w:t>
      </w:r>
      <w:r w:rsidR="00586523" w:rsidRPr="00211D94">
        <w:rPr>
          <w:rFonts w:cs="Arial"/>
          <w:b/>
          <w:szCs w:val="24"/>
        </w:rPr>
        <w:t xml:space="preserve">alokacji </w:t>
      </w:r>
      <w:r w:rsidR="00494943" w:rsidRPr="00211D94">
        <w:rPr>
          <w:rFonts w:cs="Arial"/>
          <w:b/>
          <w:szCs w:val="24"/>
        </w:rPr>
        <w:t>przeznaczonej na mechanizm ZIT</w:t>
      </w:r>
      <w:r w:rsidR="00494943" w:rsidRPr="00211D94">
        <w:rPr>
          <w:rFonts w:cs="Arial"/>
          <w:szCs w:val="24"/>
        </w:rPr>
        <w:t xml:space="preserve"> w Programie</w:t>
      </w:r>
      <w:r w:rsidR="00AD773E" w:rsidRPr="00211D94">
        <w:rPr>
          <w:rFonts w:cs="Arial"/>
          <w:szCs w:val="24"/>
        </w:rPr>
        <w:t xml:space="preserve"> i 13,</w:t>
      </w:r>
      <w:r w:rsidR="00EB3F9E" w:rsidRPr="00211D94">
        <w:rPr>
          <w:rFonts w:cs="Arial"/>
          <w:szCs w:val="24"/>
        </w:rPr>
        <w:t>8</w:t>
      </w:r>
      <w:r w:rsidR="00720C77" w:rsidRPr="00211D94">
        <w:rPr>
          <w:rFonts w:cs="Arial"/>
          <w:szCs w:val="24"/>
        </w:rPr>
        <w:t>% alokacji w całym RPO.</w:t>
      </w:r>
    </w:p>
    <w:p w14:paraId="644DA2C4" w14:textId="33D4C98C" w:rsidR="00613718" w:rsidRPr="00211D94" w:rsidRDefault="00DF3B4A" w:rsidP="00F55865">
      <w:pPr>
        <w:autoSpaceDE w:val="0"/>
        <w:autoSpaceDN w:val="0"/>
        <w:adjustRightInd w:val="0"/>
        <w:spacing w:before="120" w:after="120"/>
        <w:rPr>
          <w:rFonts w:cs="Arial"/>
          <w:szCs w:val="24"/>
        </w:rPr>
      </w:pPr>
      <w:r w:rsidRPr="00211D94">
        <w:rPr>
          <w:rFonts w:cs="Arial"/>
          <w:szCs w:val="24"/>
        </w:rPr>
        <w:t xml:space="preserve">Wszystkie projekty zidentyfikowane i dofinansowane w tym trybie spełniały wynikające z RPO WP kryteria formalne i wykonalności, jak również wnosiły odpowiedni wkład w osiąganie odpowiednich celów i rezultatów RPO WP. </w:t>
      </w:r>
    </w:p>
    <w:p w14:paraId="116A3417" w14:textId="77777777" w:rsidR="00613718" w:rsidRPr="00211D94" w:rsidRDefault="00613718" w:rsidP="00F55865">
      <w:pPr>
        <w:numPr>
          <w:ilvl w:val="0"/>
          <w:numId w:val="29"/>
        </w:numPr>
        <w:autoSpaceDE w:val="0"/>
        <w:autoSpaceDN w:val="0"/>
        <w:adjustRightInd w:val="0"/>
        <w:spacing w:before="120" w:after="120"/>
        <w:contextualSpacing/>
        <w:rPr>
          <w:rFonts w:cs="Arial"/>
          <w:szCs w:val="24"/>
        </w:rPr>
      </w:pPr>
      <w:bookmarkStart w:id="189" w:name="_Hlk438353"/>
      <w:r w:rsidRPr="00211D94">
        <w:rPr>
          <w:rFonts w:cs="Arial"/>
          <w:szCs w:val="24"/>
        </w:rPr>
        <w:t>Zintegrowane Porozumienia Terytorialne (ZPT)</w:t>
      </w:r>
    </w:p>
    <w:p w14:paraId="5EB47554" w14:textId="77777777" w:rsidR="00DF3B4A" w:rsidRPr="00211D94" w:rsidRDefault="00DF3B4A" w:rsidP="00F55865">
      <w:pPr>
        <w:autoSpaceDE w:val="0"/>
        <w:autoSpaceDN w:val="0"/>
        <w:adjustRightInd w:val="0"/>
        <w:spacing w:before="120" w:after="120"/>
        <w:rPr>
          <w:rFonts w:cs="Arial"/>
          <w:szCs w:val="24"/>
        </w:rPr>
      </w:pPr>
      <w:r w:rsidRPr="00211D94">
        <w:rPr>
          <w:rFonts w:cs="Arial"/>
          <w:szCs w:val="24"/>
        </w:rPr>
        <w:t>Instrument ZPT stosowany był w zakresie nieobjętym przez ZIT, czyli wobec Miejskich Obszarów Funkcjonalnych: Bytowa, Chojnic-Człuchowa, Słupska, Kościerzyny, Kwidzyna, Malborka, Lęborka, Starogardu Gdańskiego.</w:t>
      </w:r>
    </w:p>
    <w:p w14:paraId="4C05F301" w14:textId="77777777" w:rsidR="00DF3B4A" w:rsidRPr="00211D94" w:rsidRDefault="00DF3B4A" w:rsidP="00F55865">
      <w:pPr>
        <w:autoSpaceDE w:val="0"/>
        <w:autoSpaceDN w:val="0"/>
        <w:adjustRightInd w:val="0"/>
        <w:spacing w:before="120" w:after="120"/>
        <w:rPr>
          <w:rFonts w:cs="Arial"/>
          <w:szCs w:val="24"/>
        </w:rPr>
      </w:pPr>
      <w:r w:rsidRPr="00211D94">
        <w:rPr>
          <w:rFonts w:cs="Arial"/>
          <w:szCs w:val="24"/>
        </w:rPr>
        <w:t xml:space="preserve">Formuła ZPT zastosowana została w otwartych konkursach poprzez preferencje dla projektów uzgodnionych w ramach ZPT. </w:t>
      </w:r>
    </w:p>
    <w:p w14:paraId="41C5E913" w14:textId="318AF1F9" w:rsidR="00613718" w:rsidRPr="00211D94" w:rsidRDefault="00DF3B4A" w:rsidP="00F55865">
      <w:pPr>
        <w:autoSpaceDE w:val="0"/>
        <w:autoSpaceDN w:val="0"/>
        <w:adjustRightInd w:val="0"/>
        <w:spacing w:before="120" w:after="120"/>
        <w:rPr>
          <w:rFonts w:cs="Arial"/>
          <w:szCs w:val="24"/>
        </w:rPr>
      </w:pPr>
      <w:r w:rsidRPr="00211D94">
        <w:rPr>
          <w:rFonts w:cs="Arial"/>
          <w:szCs w:val="24"/>
        </w:rPr>
        <w:t xml:space="preserve">Od początku </w:t>
      </w:r>
      <w:r w:rsidR="00287A06" w:rsidRPr="00211D94">
        <w:rPr>
          <w:rFonts w:cs="Arial"/>
          <w:szCs w:val="24"/>
        </w:rPr>
        <w:t xml:space="preserve">realizacji Programu </w:t>
      </w:r>
      <w:r w:rsidRPr="00211D94">
        <w:rPr>
          <w:rFonts w:cs="Arial"/>
          <w:szCs w:val="24"/>
        </w:rPr>
        <w:t xml:space="preserve">w ramach instrumentu ZPT zawarto </w:t>
      </w:r>
      <w:r w:rsidR="00DD7A34" w:rsidRPr="00211D94">
        <w:rPr>
          <w:rFonts w:cs="Arial"/>
          <w:szCs w:val="24"/>
        </w:rPr>
        <w:t xml:space="preserve">106 </w:t>
      </w:r>
      <w:r w:rsidRPr="00211D94">
        <w:rPr>
          <w:rFonts w:cs="Arial"/>
          <w:szCs w:val="24"/>
        </w:rPr>
        <w:t xml:space="preserve">umów o dofinansowanie o łącznej wartości </w:t>
      </w:r>
      <w:r w:rsidR="00DD7A34" w:rsidRPr="00211D94">
        <w:rPr>
          <w:rFonts w:cs="Arial"/>
          <w:szCs w:val="24"/>
        </w:rPr>
        <w:t>268,2 mln</w:t>
      </w:r>
      <w:r w:rsidRPr="00211D94">
        <w:rPr>
          <w:rFonts w:cs="Arial"/>
          <w:szCs w:val="24"/>
        </w:rPr>
        <w:t xml:space="preserve"> EUR, w tym wkład UE </w:t>
      </w:r>
      <w:r w:rsidR="00DD7A34" w:rsidRPr="00211D94">
        <w:rPr>
          <w:rFonts w:cs="Arial"/>
          <w:szCs w:val="24"/>
        </w:rPr>
        <w:t>189,1 mln</w:t>
      </w:r>
      <w:r w:rsidRPr="00211D94">
        <w:rPr>
          <w:rFonts w:cs="Arial"/>
          <w:szCs w:val="24"/>
        </w:rPr>
        <w:t xml:space="preserve"> </w:t>
      </w:r>
      <w:r w:rsidR="00613718" w:rsidRPr="00211D94">
        <w:rPr>
          <w:rFonts w:cs="Arial"/>
          <w:szCs w:val="24"/>
        </w:rPr>
        <w:t>EUR.</w:t>
      </w:r>
      <w:bookmarkEnd w:id="189"/>
    </w:p>
    <w:p w14:paraId="5F35C8BA" w14:textId="553431A1" w:rsidR="00613718" w:rsidRPr="00211D94" w:rsidRDefault="00613718" w:rsidP="006B3230">
      <w:pPr>
        <w:pStyle w:val="Akapitzlist"/>
        <w:numPr>
          <w:ilvl w:val="0"/>
          <w:numId w:val="33"/>
        </w:numPr>
        <w:autoSpaceDE w:val="0"/>
        <w:autoSpaceDN w:val="0"/>
        <w:adjustRightInd w:val="0"/>
        <w:spacing w:before="120" w:after="120" w:line="276" w:lineRule="auto"/>
        <w:ind w:left="709"/>
        <w:rPr>
          <w:rFonts w:cs="Arial"/>
          <w:bCs/>
          <w:szCs w:val="24"/>
        </w:rPr>
      </w:pPr>
      <w:r w:rsidRPr="00211D94">
        <w:rPr>
          <w:rFonts w:cs="Arial"/>
          <w:bCs/>
          <w:szCs w:val="24"/>
        </w:rPr>
        <w:t>Rozwój lokalny kierowany przez społeczność</w:t>
      </w:r>
    </w:p>
    <w:p w14:paraId="2D625E90" w14:textId="0A0B37E6" w:rsidR="00613718" w:rsidRPr="00211D94" w:rsidRDefault="00613718" w:rsidP="00F55865">
      <w:pPr>
        <w:autoSpaceDE w:val="0"/>
        <w:autoSpaceDN w:val="0"/>
        <w:adjustRightInd w:val="0"/>
        <w:spacing w:before="120" w:after="120"/>
        <w:rPr>
          <w:rFonts w:cs="Arial"/>
          <w:szCs w:val="24"/>
        </w:rPr>
      </w:pPr>
      <w:r w:rsidRPr="00211D94">
        <w:rPr>
          <w:rFonts w:cs="Arial"/>
          <w:szCs w:val="24"/>
        </w:rPr>
        <w:t xml:space="preserve">Nie dotyczy RPO WP, gdyż Program nie </w:t>
      </w:r>
      <w:r w:rsidR="001E7F15" w:rsidRPr="00211D94">
        <w:rPr>
          <w:rFonts w:cs="Arial"/>
          <w:szCs w:val="24"/>
        </w:rPr>
        <w:t>przewidział</w:t>
      </w:r>
      <w:r w:rsidRPr="00211D94">
        <w:rPr>
          <w:rFonts w:cs="Arial"/>
          <w:szCs w:val="24"/>
        </w:rPr>
        <w:t xml:space="preserve"> zastosowania podejścia RLKS w żadnej formule. </w:t>
      </w:r>
    </w:p>
    <w:p w14:paraId="77DEDDD5" w14:textId="3A030196" w:rsidR="00565C13" w:rsidRPr="00211D94" w:rsidRDefault="00565C13" w:rsidP="00565C13">
      <w:pPr>
        <w:autoSpaceDE w:val="0"/>
        <w:autoSpaceDN w:val="0"/>
        <w:adjustRightInd w:val="0"/>
        <w:spacing w:before="120" w:after="120"/>
      </w:pPr>
      <w:r w:rsidRPr="00211D94">
        <w:rPr>
          <w:bCs/>
        </w:rPr>
        <w:t>Podsumowując</w:t>
      </w:r>
      <w:r w:rsidRPr="00211D94">
        <w:t>, wdrażanie instrumentów ZIT i ZPT należy ocenić pozytywnie. Istotną zaletą obu podejść było to, że identyfikowane projekty podlegały szczegółowym negocjacjom z IZ RPO, dzięki czemu w większym stopniu odpowiadały celom RPO WP oraz charakteryzowały się wyższą jakością w porównaniu z pierwotnymi propozycjami.</w:t>
      </w:r>
    </w:p>
    <w:p w14:paraId="3BF13F26" w14:textId="206098AF" w:rsidR="00565C13" w:rsidRPr="00211D94" w:rsidRDefault="00565C13" w:rsidP="00565C13">
      <w:pPr>
        <w:autoSpaceDE w:val="0"/>
        <w:autoSpaceDN w:val="0"/>
        <w:adjustRightInd w:val="0"/>
        <w:spacing w:before="120" w:after="120"/>
      </w:pPr>
      <w:r w:rsidRPr="00211D94">
        <w:t>Zastosowanie instrumentów ZIT i ZPT umożliwiło wybór oraz realizację przedsięwzięć służących wspólnym celom partnerstw miast i powiązanych z nimi obszarów funkcjonalnych. Oprócz stymulowania długofalowej współpracy, mechanizmy te przyczyniły się do lepszego dopasowania zakresu, charakteru i rezultatów projektów do celów RPO WP.</w:t>
      </w:r>
    </w:p>
    <w:p w14:paraId="6B6C22F5" w14:textId="385DC50D" w:rsidR="00565C13" w:rsidRPr="00211D94" w:rsidRDefault="00565C13" w:rsidP="00F55865">
      <w:pPr>
        <w:autoSpaceDE w:val="0"/>
        <w:autoSpaceDN w:val="0"/>
        <w:adjustRightInd w:val="0"/>
        <w:spacing w:before="120" w:after="120"/>
      </w:pPr>
      <w:r w:rsidRPr="00211D94">
        <w:t>Ważnym efektem ich zastosowania było również osiągnięcie odpowiedniej skali i masy krytycznej interwencji, zwłaszcza w kluczowych obszarach, takich jak transport zbiorowy, efektywność energetyczna i ograniczanie niskiej emisji, rewitalizacja społeczna i przestrzenna, a także aktywizacja zawodowa i integracja społeczna.</w:t>
      </w:r>
    </w:p>
    <w:p w14:paraId="6D266F64" w14:textId="5BFBF272" w:rsidR="004C7649" w:rsidRPr="00211D94" w:rsidRDefault="004C7649" w:rsidP="00F55865">
      <w:pPr>
        <w:pStyle w:val="Nagwek2"/>
        <w:spacing w:before="120" w:after="120"/>
        <w:rPr>
          <w:rStyle w:val="bold"/>
          <w:rFonts w:eastAsia="Calibri" w:cs="Arial"/>
          <w:bCs w:val="0"/>
          <w:iCs w:val="0"/>
          <w:color w:val="FFFFFF" w:themeColor="background1"/>
          <w:sz w:val="24"/>
          <w:szCs w:val="22"/>
        </w:rPr>
      </w:pPr>
      <w:bookmarkStart w:id="190" w:name="_Toc214025305"/>
      <w:r w:rsidRPr="00211D94">
        <w:rPr>
          <w:rStyle w:val="bold"/>
          <w:rFonts w:cs="Arial"/>
          <w:color w:val="FFFFFF" w:themeColor="background1"/>
        </w:rPr>
        <w:t>14.2</w:t>
      </w:r>
      <w:r w:rsidR="00A30C7A" w:rsidRPr="00211D94">
        <w:rPr>
          <w:rStyle w:val="bold"/>
          <w:rFonts w:cs="Arial"/>
          <w:color w:val="FFFFFF" w:themeColor="background1"/>
        </w:rPr>
        <w:t>.</w:t>
      </w:r>
      <w:r w:rsidRPr="00211D94">
        <w:rPr>
          <w:rStyle w:val="bold"/>
          <w:rFonts w:cs="Arial"/>
          <w:color w:val="FFFFFF" w:themeColor="background1"/>
        </w:rPr>
        <w:t xml:space="preserve"> Postępy w realizacji przedsięwzięć mających na celu zwiększenie zdolności instytucji i</w:t>
      </w:r>
      <w:r w:rsidR="00475126" w:rsidRPr="00211D94">
        <w:rPr>
          <w:rStyle w:val="bold"/>
          <w:rFonts w:cs="Arial"/>
          <w:color w:val="FFFFFF" w:themeColor="background1"/>
        </w:rPr>
        <w:t> </w:t>
      </w:r>
      <w:r w:rsidRPr="00211D94">
        <w:rPr>
          <w:rStyle w:val="bold"/>
          <w:rFonts w:cs="Arial"/>
          <w:color w:val="FFFFFF" w:themeColor="background1"/>
        </w:rPr>
        <w:t>beneficjentów w państwach członkowskich w zakresie zarządzania funduszami i korzystania z nich</w:t>
      </w:r>
      <w:bookmarkEnd w:id="190"/>
      <w:r w:rsidRPr="00211D94">
        <w:rPr>
          <w:rStyle w:val="bold"/>
          <w:rFonts w:cs="Arial"/>
          <w:color w:val="FFFFFF" w:themeColor="background1"/>
        </w:rPr>
        <w:t xml:space="preserve"> </w:t>
      </w:r>
    </w:p>
    <w:p w14:paraId="4286C5BF" w14:textId="61652F50" w:rsidR="00DF3B4A" w:rsidRPr="00211D94" w:rsidRDefault="00613718" w:rsidP="00F55865">
      <w:pPr>
        <w:autoSpaceDE w:val="0"/>
        <w:autoSpaceDN w:val="0"/>
        <w:adjustRightInd w:val="0"/>
        <w:spacing w:before="120" w:after="120"/>
        <w:rPr>
          <w:rFonts w:cs="Arial"/>
        </w:rPr>
      </w:pPr>
      <w:r w:rsidRPr="00211D94">
        <w:rPr>
          <w:rFonts w:cs="Arial"/>
        </w:rPr>
        <w:t xml:space="preserve">IZ </w:t>
      </w:r>
      <w:r w:rsidR="00DF3B4A" w:rsidRPr="00211D94">
        <w:rPr>
          <w:rFonts w:cs="Arial"/>
        </w:rPr>
        <w:t xml:space="preserve">RPO WP w okresie 2014-2020 korzystała z wypracowanych mechanizmów </w:t>
      </w:r>
      <w:r w:rsidR="00DF3B4A" w:rsidRPr="00211D94">
        <w:rPr>
          <w:rFonts w:cs="Arial"/>
        </w:rPr>
        <w:br/>
        <w:t xml:space="preserve">i doświadczeń z perspektywy 2007-2013, mających na celu zwiększenie zdolności IZ RPO WP i IP RPO WP oraz Beneficjentów dotyczących zarówno zarządzania </w:t>
      </w:r>
      <w:r w:rsidR="00DF3B4A" w:rsidRPr="00211D94">
        <w:rPr>
          <w:rFonts w:cs="Arial"/>
        </w:rPr>
        <w:br/>
        <w:t xml:space="preserve">i wdrażania Programem jak i aplikowania oraz realizowania projektów. </w:t>
      </w:r>
    </w:p>
    <w:p w14:paraId="475D18FD" w14:textId="06A15F28" w:rsidR="00DF3B4A" w:rsidRPr="00211D94" w:rsidRDefault="00DF3B4A" w:rsidP="00F55865">
      <w:pPr>
        <w:autoSpaceDE w:val="0"/>
        <w:autoSpaceDN w:val="0"/>
        <w:adjustRightInd w:val="0"/>
        <w:spacing w:before="120" w:after="120"/>
        <w:rPr>
          <w:rFonts w:cs="Arial"/>
        </w:rPr>
      </w:pPr>
      <w:r w:rsidRPr="00211D94">
        <w:rPr>
          <w:rFonts w:cs="Arial"/>
        </w:rPr>
        <w:t>Do uproszczeń we wdrażaniu Programu należały w szczególności:</w:t>
      </w:r>
    </w:p>
    <w:p w14:paraId="59946B44" w14:textId="73FF8911"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 xml:space="preserve">We wszystkich projektach EFS, z wyjątkiem </w:t>
      </w:r>
      <w:r w:rsidR="00565C13" w:rsidRPr="00211D94">
        <w:rPr>
          <w:rFonts w:cs="Arial"/>
        </w:rPr>
        <w:t>pomocy technicznej</w:t>
      </w:r>
      <w:r w:rsidRPr="00211D94">
        <w:rPr>
          <w:rFonts w:cs="Arial"/>
        </w:rPr>
        <w:t xml:space="preserve">, w przypadku rozliczania kosztów pośrednich obligatoryjne było stosowanie określonych w </w:t>
      </w:r>
      <w:r w:rsidR="002D0A49" w:rsidRPr="00211D94">
        <w:rPr>
          <w:rFonts w:cs="Arial"/>
        </w:rPr>
        <w:t>„</w:t>
      </w:r>
      <w:r w:rsidRPr="00211D94">
        <w:rPr>
          <w:rFonts w:cs="Arial"/>
        </w:rPr>
        <w:t>Wytycznych w zakresie kwalifikowalności wydatków w ramach EFRR, EFS i FS na lata 2014-2020</w:t>
      </w:r>
      <w:r w:rsidR="002D0A49" w:rsidRPr="00211D94">
        <w:rPr>
          <w:rFonts w:cs="Arial"/>
        </w:rPr>
        <w:t>”</w:t>
      </w:r>
      <w:r w:rsidRPr="00211D94">
        <w:rPr>
          <w:rFonts w:cs="Arial"/>
        </w:rPr>
        <w:t xml:space="preserve"> ryczałtowych stawek kosztów pośrednich. W ocenie Beneficjentów zastosowanie ryczałtu ułatwiło im rozliczanie kosztów pośrednich, gdyż sposób rozliczania tych kosztów znacznie zredukował obciążenia administracyjne (brak rozliczania na podstawie dokumentów księgowych). Stosowanie stawki ryczałtowej dla kosztów pośrednich było też ułatwieniem dla instytucji, a ponadto ta forma rozliczania kosztów pośrednich obowiązując wszystkich Beneficjentów, ułatwiła monitoring kosztów pośrednich rozliczanych w ramach poszczególnych osi priorytetowych;</w:t>
      </w:r>
    </w:p>
    <w:p w14:paraId="2DE3E2E0" w14:textId="6D516C60"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 xml:space="preserve">We wszystkich projektach EFS o wartości środków publicznych nieprzekraczającej 100 </w:t>
      </w:r>
      <w:r w:rsidR="00F14978" w:rsidRPr="00211D94">
        <w:rPr>
          <w:rFonts w:cs="Arial"/>
        </w:rPr>
        <w:t>tys.</w:t>
      </w:r>
      <w:r w:rsidRPr="00211D94">
        <w:rPr>
          <w:rFonts w:cs="Arial"/>
        </w:rPr>
        <w:t xml:space="preserve"> EUR obligatoryjne było stosowanie kwot ryczałtowych obejmujących wszystkie wydatki bezpośrednie projektu;</w:t>
      </w:r>
    </w:p>
    <w:p w14:paraId="1A8376AE"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W celu umożliwienia właściwego przygotowania się i zaplanowania działań przez wnioskodawców IZ RPO publikowała harmonogram konkursów planowanych na kolejny rok oraz na bieżąco wprowadzała w nim ewentualne zmiany, każdorazowo informując Beneficjentów o zmianach;</w:t>
      </w:r>
    </w:p>
    <w:p w14:paraId="406CB9BE" w14:textId="4F0FE59C" w:rsidR="00DF3B4A" w:rsidRPr="00211D94" w:rsidRDefault="00DF3B4A" w:rsidP="006B3230">
      <w:pPr>
        <w:numPr>
          <w:ilvl w:val="0"/>
          <w:numId w:val="30"/>
        </w:numPr>
        <w:autoSpaceDE w:val="0"/>
        <w:autoSpaceDN w:val="0"/>
        <w:adjustRightInd w:val="0"/>
        <w:spacing w:before="120" w:after="120"/>
      </w:pPr>
      <w:r w:rsidRPr="00211D94">
        <w:rPr>
          <w:rFonts w:cs="Arial"/>
        </w:rPr>
        <w:t xml:space="preserve">Na stronie </w:t>
      </w:r>
      <w:hyperlink r:id="rId24" w:history="1">
        <w:r w:rsidR="006B3230" w:rsidRPr="00211D94">
          <w:rPr>
            <w:rStyle w:val="Hipercze"/>
            <w:color w:val="auto"/>
            <w:u w:val="none"/>
          </w:rPr>
          <w:t>https://rpo.pomorskie.eu/</w:t>
        </w:r>
      </w:hyperlink>
      <w:r w:rsidRPr="00211D94">
        <w:rPr>
          <w:rFonts w:cs="Arial"/>
        </w:rPr>
        <w:t xml:space="preserve"> systematycznie umieszczane były aktualne informacje dot. prowadzonych oraz planowanych naborów;</w:t>
      </w:r>
    </w:p>
    <w:p w14:paraId="261E8145"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IZ RPO przeprowadzała szkolenia i spotkania informacyjne dla Beneficjentów oraz potencjalnych wnioskodawców dostosowane do aktualnie uruchamianych naborów;</w:t>
      </w:r>
    </w:p>
    <w:p w14:paraId="7B520656"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 xml:space="preserve">IZ RPO stosowała ułatwienia dla Beneficjentów w zakresie dokumentacji dołączanej do wniosku o dofinansowanie, gdzie w części zastąpiono urzędowe zaświadczenia oświadczeniami Beneficjenta/Partnera; </w:t>
      </w:r>
    </w:p>
    <w:p w14:paraId="14C9FC05"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Każdy realizowany projekt posiadał opiekuna ze strony instytucji, który był w stałym kontakcie z Beneficjentem oraz monitorował prawidłowość realizacji projektu na każdym etapie;</w:t>
      </w:r>
    </w:p>
    <w:p w14:paraId="23D5F926"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W trakcie realizacji projektów organizowane były spotkania, szkolenia, warsztaty z Beneficjentami poświęcone zagadnieniom aktualnym na danym etapie realizacji wsparcia oraz istotnym z punktu widzenia efektywności i prawidłowości wdrażania;</w:t>
      </w:r>
    </w:p>
    <w:p w14:paraId="62C3FC85"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Odbywały się cykliczne szkolenia na temat zagadnień horyzontalnych, takich jak zamówienia publiczne, pomoc publiczna, ocena oddziaływania na środowisko, zasady kwalifikowalności wydatków;</w:t>
      </w:r>
    </w:p>
    <w:p w14:paraId="13BB72BB" w14:textId="77777777" w:rsidR="00DF3B4A" w:rsidRPr="00211D94" w:rsidRDefault="00DF3B4A" w:rsidP="00F55865">
      <w:pPr>
        <w:numPr>
          <w:ilvl w:val="0"/>
          <w:numId w:val="30"/>
        </w:numPr>
        <w:autoSpaceDE w:val="0"/>
        <w:autoSpaceDN w:val="0"/>
        <w:adjustRightInd w:val="0"/>
        <w:spacing w:before="120" w:after="120"/>
        <w:rPr>
          <w:rFonts w:cs="Arial"/>
        </w:rPr>
      </w:pPr>
      <w:r w:rsidRPr="00211D94">
        <w:rPr>
          <w:rFonts w:cs="Arial"/>
        </w:rPr>
        <w:t xml:space="preserve">IZ RPO zapewniała łatwy dostęp do kompleksowej i szczegółowej informacji za pośrednictwem sieci punktów informacyjnych. </w:t>
      </w:r>
    </w:p>
    <w:p w14:paraId="192D1F71" w14:textId="77777777" w:rsidR="00DF3B4A" w:rsidRPr="00211D94" w:rsidRDefault="00DF3B4A" w:rsidP="00F55865">
      <w:pPr>
        <w:autoSpaceDE w:val="0"/>
        <w:autoSpaceDN w:val="0"/>
        <w:adjustRightInd w:val="0"/>
        <w:spacing w:before="120" w:after="120"/>
        <w:rPr>
          <w:rFonts w:cs="Arial"/>
        </w:rPr>
      </w:pPr>
      <w:r w:rsidRPr="00211D94">
        <w:rPr>
          <w:rFonts w:cs="Arial"/>
        </w:rPr>
        <w:t xml:space="preserve">Ponadto, w celu wzmocnienia zdolności IZ RPO w zakresie zarządzania funduszami, zapewniono finansowanie różnych form podnoszenia kwalifikacji pracowników instytucji. Zabezpieczono odpowiednie warunki lokalowe i wyposażenie techniczne </w:t>
      </w:r>
      <w:r w:rsidRPr="00211D94">
        <w:rPr>
          <w:rFonts w:cs="Arial"/>
        </w:rPr>
        <w:br/>
        <w:t xml:space="preserve">w instytucjach wdrażających Program. Pracownicy instytucji uczestniczyli również </w:t>
      </w:r>
      <w:r w:rsidRPr="00211D94">
        <w:rPr>
          <w:rFonts w:cs="Arial"/>
        </w:rPr>
        <w:br/>
        <w:t>w pracach tematycznych grup roboczych oraz licznych konferencjach i warsztatach organizowanych przez Instytucję Koordynującą Umowę Partnerstwa.</w:t>
      </w:r>
    </w:p>
    <w:p w14:paraId="20BDC998" w14:textId="316EBC47" w:rsidR="00613718" w:rsidRPr="00211D94" w:rsidRDefault="00DF3B4A" w:rsidP="00F55865">
      <w:pPr>
        <w:autoSpaceDE w:val="0"/>
        <w:autoSpaceDN w:val="0"/>
        <w:adjustRightInd w:val="0"/>
        <w:spacing w:before="120" w:after="120"/>
        <w:rPr>
          <w:rFonts w:cs="Arial"/>
        </w:rPr>
      </w:pPr>
      <w:r w:rsidRPr="00211D94">
        <w:rPr>
          <w:rFonts w:cs="Arial"/>
        </w:rPr>
        <w:t xml:space="preserve">IZ RPO zgłosiła się wraz z czterema innymi województwami do udziału </w:t>
      </w:r>
      <w:r w:rsidRPr="00211D94">
        <w:rPr>
          <w:rFonts w:cs="Arial"/>
        </w:rPr>
        <w:br/>
        <w:t xml:space="preserve">w zainicjowanym przez </w:t>
      </w:r>
      <w:r w:rsidR="003D2F52" w:rsidRPr="00211D94">
        <w:rPr>
          <w:rFonts w:cs="Arial"/>
        </w:rPr>
        <w:t>KE</w:t>
      </w:r>
      <w:r w:rsidRPr="00211D94">
        <w:rPr>
          <w:rFonts w:cs="Arial"/>
        </w:rPr>
        <w:t xml:space="preserve"> pilotażu dotyczącym szerszego niż dotychczas stosowania kosztów uproszczonych, w szczególności w obszarze </w:t>
      </w:r>
      <w:r w:rsidR="00613718" w:rsidRPr="00211D94">
        <w:rPr>
          <w:rFonts w:cs="Arial"/>
        </w:rPr>
        <w:t xml:space="preserve">EFRR. </w:t>
      </w:r>
    </w:p>
    <w:p w14:paraId="002FF8F2" w14:textId="77777777" w:rsidR="004C7649" w:rsidRPr="00211D94" w:rsidRDefault="004C7649" w:rsidP="00F55865">
      <w:pPr>
        <w:pStyle w:val="Nagwek2"/>
        <w:spacing w:before="120" w:after="120"/>
        <w:rPr>
          <w:rStyle w:val="bold"/>
          <w:rFonts w:eastAsia="Calibri" w:cs="Arial"/>
          <w:bCs w:val="0"/>
          <w:iCs w:val="0"/>
          <w:color w:val="FFFFFF" w:themeColor="background1"/>
          <w:sz w:val="24"/>
          <w:szCs w:val="22"/>
        </w:rPr>
      </w:pPr>
      <w:bookmarkStart w:id="191" w:name="_Toc214025306"/>
      <w:r w:rsidRPr="00211D94">
        <w:rPr>
          <w:rStyle w:val="bold"/>
          <w:rFonts w:cs="Arial"/>
          <w:color w:val="FFFFFF" w:themeColor="background1"/>
        </w:rPr>
        <w:t>14.3</w:t>
      </w:r>
      <w:r w:rsidR="00A30C7A" w:rsidRPr="00211D94">
        <w:rPr>
          <w:rStyle w:val="bold"/>
          <w:rFonts w:cs="Arial"/>
          <w:color w:val="FFFFFF" w:themeColor="background1"/>
        </w:rPr>
        <w:t>.</w:t>
      </w:r>
      <w:r w:rsidRPr="00211D94">
        <w:rPr>
          <w:rStyle w:val="bold"/>
          <w:rFonts w:cs="Arial"/>
          <w:color w:val="FFFFFF" w:themeColor="background1"/>
        </w:rPr>
        <w:t xml:space="preserve"> Postępy w realizacji wszelkich przedsięwzięć międzyregionalnych i transnarodowych</w:t>
      </w:r>
      <w:bookmarkEnd w:id="191"/>
      <w:r w:rsidRPr="00211D94">
        <w:rPr>
          <w:rStyle w:val="bold"/>
          <w:rFonts w:cs="Arial"/>
          <w:color w:val="FFFFFF" w:themeColor="background1"/>
        </w:rPr>
        <w:t xml:space="preserve"> </w:t>
      </w:r>
    </w:p>
    <w:p w14:paraId="36CC6CC3" w14:textId="3401132B" w:rsidR="00DF3B4A" w:rsidRPr="00211D94" w:rsidRDefault="00613718" w:rsidP="00F55865">
      <w:pPr>
        <w:autoSpaceDE w:val="0"/>
        <w:autoSpaceDN w:val="0"/>
        <w:adjustRightInd w:val="0"/>
        <w:spacing w:before="120" w:after="120"/>
        <w:rPr>
          <w:rFonts w:cs="Arial"/>
          <w:szCs w:val="24"/>
        </w:rPr>
      </w:pPr>
      <w:r w:rsidRPr="00211D94">
        <w:rPr>
          <w:rFonts w:cs="Arial"/>
          <w:szCs w:val="24"/>
        </w:rPr>
        <w:t xml:space="preserve">W </w:t>
      </w:r>
      <w:r w:rsidR="00DF3B4A" w:rsidRPr="00211D94">
        <w:rPr>
          <w:rFonts w:cs="Arial"/>
          <w:szCs w:val="24"/>
        </w:rPr>
        <w:t>RPO WP miejsce realizacji wszystkich projektów wybranych do dofinansowania ograniczało się do terenu województwa pomorskiego.</w:t>
      </w:r>
    </w:p>
    <w:p w14:paraId="365AD1BC" w14:textId="77C719E2" w:rsidR="00EC43D2" w:rsidRPr="00211D94" w:rsidRDefault="00DF3B4A" w:rsidP="00F55865">
      <w:pPr>
        <w:autoSpaceDE w:val="0"/>
        <w:autoSpaceDN w:val="0"/>
        <w:adjustRightInd w:val="0"/>
        <w:spacing w:before="120" w:after="120"/>
        <w:rPr>
          <w:rFonts w:cs="Arial"/>
          <w:szCs w:val="24"/>
        </w:rPr>
      </w:pPr>
      <w:r w:rsidRPr="00211D94">
        <w:rPr>
          <w:rFonts w:cs="Arial"/>
          <w:szCs w:val="24"/>
        </w:rPr>
        <w:t xml:space="preserve">Niemniej, interwencja RPO WP w ramach OP5, Poddziałaniu 5.2.2. </w:t>
      </w:r>
      <w:r w:rsidR="002D0A49" w:rsidRPr="00211D94">
        <w:rPr>
          <w:rFonts w:cs="Arial"/>
          <w:szCs w:val="24"/>
        </w:rPr>
        <w:t>„</w:t>
      </w:r>
      <w:r w:rsidRPr="00211D94">
        <w:rPr>
          <w:rFonts w:cs="Arial"/>
          <w:szCs w:val="24"/>
        </w:rPr>
        <w:t>Aktywizacja zawodowa</w:t>
      </w:r>
      <w:r w:rsidR="002D0A49" w:rsidRPr="00211D94">
        <w:rPr>
          <w:rFonts w:cs="Arial"/>
          <w:szCs w:val="24"/>
        </w:rPr>
        <w:t>”</w:t>
      </w:r>
      <w:r w:rsidRPr="00211D94">
        <w:rPr>
          <w:rFonts w:cs="Arial"/>
          <w:szCs w:val="24"/>
        </w:rPr>
        <w:t xml:space="preserve"> (PI 8i) zakładała wsparcie inicjatyw na rzecz podnoszenia mobilności przestrzennej (regionalnej i ponadregionalnej), w tym także w ramach sieci EURES oraz przedsięwzięć w zakresie tworzenia skutecznego i efektywnego poradnictwa zawodowego. W tym celu zrealizowany został projekt Wojewódzkiego Urzędu Pracy w Gdańsku w trybie pozakonkursowym. Projekt realizowany był w okresie 10.2019</w:t>
      </w:r>
      <w:r w:rsidR="00466295" w:rsidRPr="00211D94">
        <w:rPr>
          <w:rFonts w:cs="Arial"/>
          <w:szCs w:val="24"/>
        </w:rPr>
        <w:t xml:space="preserve"> </w:t>
      </w:r>
      <w:r w:rsidRPr="00211D94">
        <w:rPr>
          <w:rFonts w:cs="Arial"/>
          <w:szCs w:val="24"/>
        </w:rPr>
        <w:t>r. – 12.2022</w:t>
      </w:r>
      <w:r w:rsidR="00466295" w:rsidRPr="00211D94">
        <w:rPr>
          <w:rFonts w:cs="Arial"/>
          <w:szCs w:val="24"/>
        </w:rPr>
        <w:t xml:space="preserve"> </w:t>
      </w:r>
      <w:r w:rsidRPr="00211D94">
        <w:rPr>
          <w:rFonts w:cs="Arial"/>
          <w:szCs w:val="24"/>
        </w:rPr>
        <w:t xml:space="preserve">r., a jego celem było zwiększenie szans na zatrudnienie 50 reemigrantów poprzez umożliwienie im zdobycia lub uzupełnienia kwalifikacji zawodowych dopasowanych do aktualnych potrzeb i wymagań regionalnego rynku pracy, stanowiących odpowiedź na zapotrzebowanie pracodawców i zgłaszane przez nich oferty pracy. </w:t>
      </w:r>
    </w:p>
    <w:p w14:paraId="5B7534E7" w14:textId="552CE99E" w:rsidR="00DF3B4A" w:rsidRPr="00211D94" w:rsidRDefault="00DF3B4A" w:rsidP="00F55865">
      <w:pPr>
        <w:autoSpaceDE w:val="0"/>
        <w:autoSpaceDN w:val="0"/>
        <w:adjustRightInd w:val="0"/>
        <w:spacing w:before="120" w:after="120"/>
        <w:rPr>
          <w:rFonts w:cs="Arial"/>
          <w:szCs w:val="24"/>
        </w:rPr>
      </w:pPr>
      <w:r w:rsidRPr="00211D94">
        <w:rPr>
          <w:rFonts w:cs="Arial"/>
          <w:szCs w:val="24"/>
        </w:rPr>
        <w:t>Projekt ukierunkowany był na wspieranie powrotów obywateli polskich do kraju celem osiedlenia się i podjęcia zatrudnienia na terenie województwa pomorskiego. W ramach projektu wspierane były powroty obywateli polskich z następujących krajów: Wielka Brytania, Niemcy, Irlandia, Holandia, Norwegia, Szwecja, Belgia i Francja. Projektem objęto 45 osób bezrobotnych, w tym 23 osoby o niskich kwalifikacjach oraz 7 osób w wieku powyżej 50 roku życia. W wyniku realizacji działań przewidzianych dla uczestników 31 osób podjęło pracę, a 30 podniosło kwalifikacje. Efektem pośrednim było wsparcie kluczowych dla województwa pomorskiego branż, w których zdiagnozowano niedobory kandydatów do pracy. Przedsięwzięcie wpisywało się w wyzwania regionalnej polityki rynku pracy, w szczególności w zakresie promowania i ułatwiania mobilności przestrzennej oraz dopasowania kompetencji do potrzeb pracodawców, zapisane w Regionalnym Planie Działań na rzecz Zatrudnienia dla województwa pomorskiego na 2019</w:t>
      </w:r>
      <w:r w:rsidR="00EC43D2" w:rsidRPr="00211D94">
        <w:rPr>
          <w:rFonts w:cs="Arial"/>
          <w:szCs w:val="24"/>
        </w:rPr>
        <w:t xml:space="preserve"> </w:t>
      </w:r>
      <w:r w:rsidRPr="00211D94">
        <w:rPr>
          <w:rFonts w:cs="Arial"/>
          <w:szCs w:val="24"/>
        </w:rPr>
        <w:t>r.</w:t>
      </w:r>
    </w:p>
    <w:p w14:paraId="5A22EC0D" w14:textId="77777777" w:rsidR="00A30C7A" w:rsidRPr="00211D94" w:rsidRDefault="004C7649" w:rsidP="00F55865">
      <w:pPr>
        <w:pStyle w:val="Nagwek2"/>
        <w:spacing w:before="120" w:after="120"/>
        <w:rPr>
          <w:rStyle w:val="bold"/>
          <w:rFonts w:eastAsia="Calibri" w:cs="Arial"/>
          <w:bCs w:val="0"/>
          <w:iCs w:val="0"/>
          <w:color w:val="FFFFFF" w:themeColor="background1"/>
          <w:sz w:val="24"/>
          <w:szCs w:val="22"/>
        </w:rPr>
      </w:pPr>
      <w:bookmarkStart w:id="192" w:name="_Toc214025307"/>
      <w:r w:rsidRPr="00211D94">
        <w:rPr>
          <w:rStyle w:val="bold"/>
          <w:rFonts w:cs="Arial"/>
          <w:color w:val="FFFFFF" w:themeColor="background1"/>
        </w:rPr>
        <w:t>14.4</w:t>
      </w:r>
      <w:r w:rsidR="00A30C7A" w:rsidRPr="00211D94">
        <w:rPr>
          <w:rStyle w:val="bold"/>
          <w:rFonts w:cs="Arial"/>
          <w:color w:val="FFFFFF" w:themeColor="background1"/>
        </w:rPr>
        <w:t>.</w:t>
      </w:r>
      <w:r w:rsidRPr="00211D94">
        <w:rPr>
          <w:rStyle w:val="bold"/>
          <w:rFonts w:cs="Arial"/>
          <w:color w:val="FFFFFF" w:themeColor="background1"/>
        </w:rPr>
        <w:t xml:space="preserve"> W stosownych przypadkach — wkład w strategie makroregionalne i strategie morskie</w:t>
      </w:r>
      <w:bookmarkEnd w:id="192"/>
      <w:r w:rsidRPr="00211D94">
        <w:rPr>
          <w:rStyle w:val="bold"/>
          <w:rFonts w:cs="Arial"/>
          <w:color w:val="FFFFFF" w:themeColor="background1"/>
        </w:rPr>
        <w:t xml:space="preserve"> </w:t>
      </w:r>
    </w:p>
    <w:p w14:paraId="47A480BF" w14:textId="77777777" w:rsidR="002D16DB" w:rsidRPr="00211D94" w:rsidRDefault="002D16DB" w:rsidP="00844E01">
      <w:pPr>
        <w:spacing w:before="120" w:after="120"/>
        <w:rPr>
          <w:rFonts w:cs="Arial"/>
        </w:rPr>
      </w:pPr>
      <w:r w:rsidRPr="00211D94">
        <w:rPr>
          <w:rFonts w:cs="Arial"/>
        </w:rPr>
        <w:t xml:space="preserve">Województwo pomorskie aktywnie uczestniczyło w pracach nad przygotowaniem </w:t>
      </w:r>
      <w:r w:rsidRPr="00211D94">
        <w:rPr>
          <w:rFonts w:cs="Arial"/>
          <w:b/>
        </w:rPr>
        <w:t xml:space="preserve">Strategii UE dla Regionu Morza Bałtyckiego </w:t>
      </w:r>
      <w:r w:rsidRPr="00211D94">
        <w:rPr>
          <w:rFonts w:cs="Arial"/>
        </w:rPr>
        <w:t>(SUERMB)</w:t>
      </w:r>
      <w:r w:rsidRPr="00211D94">
        <w:rPr>
          <w:rFonts w:cs="Arial"/>
          <w:b/>
        </w:rPr>
        <w:t xml:space="preserve"> </w:t>
      </w:r>
      <w:r w:rsidRPr="00211D94">
        <w:rPr>
          <w:rFonts w:cs="Arial"/>
        </w:rPr>
        <w:t>poprzez zaangażowanie w </w:t>
      </w:r>
      <w:r w:rsidRPr="00211D94">
        <w:rPr>
          <w:rFonts w:cs="Arial"/>
          <w:i/>
        </w:rPr>
        <w:t xml:space="preserve">opracowanie </w:t>
      </w:r>
      <w:r w:rsidRPr="00211D94">
        <w:rPr>
          <w:rFonts w:cs="Arial"/>
          <w:bCs/>
          <w:i/>
        </w:rPr>
        <w:t>trzech stanowisk Konwentu</w:t>
      </w:r>
      <w:r w:rsidRPr="00211D94">
        <w:rPr>
          <w:rFonts w:cs="Arial"/>
          <w:i/>
        </w:rPr>
        <w:t xml:space="preserve"> </w:t>
      </w:r>
      <w:r w:rsidRPr="00211D94">
        <w:rPr>
          <w:rFonts w:cs="Arial"/>
          <w:bCs/>
          <w:i/>
        </w:rPr>
        <w:t>Marszałków Województw RP</w:t>
      </w:r>
      <w:r w:rsidRPr="00211D94">
        <w:rPr>
          <w:rFonts w:cs="Arial"/>
          <w:i/>
        </w:rPr>
        <w:t xml:space="preserve">, a także zorganizowanie tzw. </w:t>
      </w:r>
      <w:r w:rsidRPr="00211D94">
        <w:rPr>
          <w:rFonts w:cs="Arial"/>
          <w:bCs/>
          <w:i/>
          <w:iCs/>
        </w:rPr>
        <w:t>Okr</w:t>
      </w:r>
      <w:r w:rsidRPr="00211D94">
        <w:rPr>
          <w:rFonts w:cs="Arial"/>
          <w:i/>
        </w:rPr>
        <w:t>ą</w:t>
      </w:r>
      <w:r w:rsidRPr="00211D94">
        <w:rPr>
          <w:rFonts w:cs="Arial"/>
          <w:bCs/>
          <w:i/>
          <w:iCs/>
        </w:rPr>
        <w:t xml:space="preserve">głego stołu </w:t>
      </w:r>
      <w:r w:rsidRPr="00211D94">
        <w:rPr>
          <w:rFonts w:cs="Arial"/>
          <w:bCs/>
          <w:i/>
        </w:rPr>
        <w:t>dotycz</w:t>
      </w:r>
      <w:r w:rsidRPr="00211D94">
        <w:rPr>
          <w:rFonts w:cs="Arial"/>
          <w:i/>
        </w:rPr>
        <w:t>ą</w:t>
      </w:r>
      <w:r w:rsidRPr="00211D94">
        <w:rPr>
          <w:rFonts w:cs="Arial"/>
          <w:bCs/>
          <w:i/>
        </w:rPr>
        <w:t xml:space="preserve">cego aspektów ochrony </w:t>
      </w:r>
      <w:r w:rsidRPr="00211D94">
        <w:rPr>
          <w:rFonts w:cs="Arial"/>
          <w:i/>
        </w:rPr>
        <w:t>ś</w:t>
      </w:r>
      <w:r w:rsidRPr="00211D94">
        <w:rPr>
          <w:rFonts w:cs="Arial"/>
          <w:bCs/>
          <w:i/>
        </w:rPr>
        <w:t xml:space="preserve">rodowiska </w:t>
      </w:r>
      <w:r w:rsidRPr="00211D94">
        <w:rPr>
          <w:rFonts w:cs="Arial"/>
          <w:i/>
        </w:rPr>
        <w:t>w </w:t>
      </w:r>
      <w:r w:rsidRPr="00211D94">
        <w:rPr>
          <w:rFonts w:cs="Arial"/>
          <w:i/>
          <w:iCs/>
        </w:rPr>
        <w:t>Strategii</w:t>
      </w:r>
      <w:r w:rsidRPr="00211D94">
        <w:rPr>
          <w:rFonts w:cs="Arial"/>
          <w:i/>
        </w:rPr>
        <w:t>. Przedstawiciele województwa pomorskiego brali także czynny udział w międzynarodowych konferencjach poświęconych SUERMB. Województwo pomorskie jest także aktywnym uczestnikiem posiedzeń Zespołu Roboczego ds. koordynacji wdrażania Strategii UE dla Regionu Morza Bałtyckiego w Polsce, powołanego przez Ministerstwo Spraw Zagranicznych</w:t>
      </w:r>
      <w:r w:rsidRPr="00211D94">
        <w:rPr>
          <w:rFonts w:cs="Arial"/>
        </w:rPr>
        <w:t xml:space="preserve">. Jednocześnie, Samorząd Województwa Pomorskiego włączył się bezpośrednio w proces wdrażania </w:t>
      </w:r>
      <w:r w:rsidRPr="00211D94">
        <w:rPr>
          <w:rFonts w:cs="Arial"/>
          <w:iCs/>
        </w:rPr>
        <w:t>Strategii</w:t>
      </w:r>
      <w:r w:rsidRPr="00211D94">
        <w:rPr>
          <w:rFonts w:cs="Arial"/>
        </w:rPr>
        <w:t xml:space="preserve">, obejmując rolę </w:t>
      </w:r>
      <w:r w:rsidRPr="00211D94">
        <w:rPr>
          <w:rFonts w:cs="Arial"/>
          <w:bCs/>
        </w:rPr>
        <w:t xml:space="preserve">lidera projektu flagowego w obszarze turystyki. Ponadto, podmioty z terenu województwa pomorskiego są aktywnymi współrealizatorami projektów flagowych w ramach Strategii. </w:t>
      </w:r>
      <w:r w:rsidRPr="00211D94">
        <w:rPr>
          <w:rFonts w:cs="Arial"/>
        </w:rPr>
        <w:t xml:space="preserve">Zgodnie z zapisami Programu, obszary bezpośredniej komplementarności pomiędzy RPO WP a SUERMB występują przede wszystkim w następujących osiach priorytetowych Programu: OP1. Komercjalizacja wiedzy, OP2. Przedsiębiorstwa, OP8. Konwersja, OP10. Energia oraz OP11. Środowisko. </w:t>
      </w:r>
    </w:p>
    <w:p w14:paraId="0CEC091D" w14:textId="77777777" w:rsidR="002D16DB" w:rsidRPr="00211D94" w:rsidRDefault="002D16DB" w:rsidP="00844E01">
      <w:pPr>
        <w:autoSpaceDE w:val="0"/>
        <w:autoSpaceDN w:val="0"/>
        <w:adjustRightInd w:val="0"/>
        <w:spacing w:before="120" w:after="120"/>
        <w:rPr>
          <w:rFonts w:cs="Arial"/>
        </w:rPr>
      </w:pPr>
      <w:r w:rsidRPr="00211D94">
        <w:rPr>
          <w:rFonts w:cs="Arial"/>
        </w:rPr>
        <w:t>Główne Cele, Obszary Tematyczne i Działania Horyzontalne SUERMB, z którymi jest kompatybilny RPO WP: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477"/>
      </w:tblGrid>
      <w:tr w:rsidR="002D16DB" w:rsidRPr="00211D94" w14:paraId="14B4D506" w14:textId="77777777" w:rsidTr="00711391">
        <w:tc>
          <w:tcPr>
            <w:tcW w:w="4531" w:type="dxa"/>
            <w:shd w:val="clear" w:color="auto" w:fill="auto"/>
          </w:tcPr>
          <w:p w14:paraId="56265C53" w14:textId="77777777" w:rsidR="002D16DB" w:rsidRPr="00211D94" w:rsidRDefault="002D16DB" w:rsidP="00F55865">
            <w:pPr>
              <w:spacing w:before="120" w:after="120"/>
              <w:rPr>
                <w:rFonts w:cs="Arial"/>
                <w:b/>
                <w:lang w:val="en-GB"/>
              </w:rPr>
            </w:pPr>
            <w:r w:rsidRPr="00211D94">
              <w:rPr>
                <w:rFonts w:cs="Arial"/>
                <w:b/>
                <w:lang w:val="en-GB"/>
              </w:rPr>
              <w:t>Objectives</w:t>
            </w:r>
          </w:p>
          <w:p w14:paraId="18B0BE3C" w14:textId="77777777" w:rsidR="002D16DB" w:rsidRPr="00211D94" w:rsidRDefault="002D16DB" w:rsidP="00F55865">
            <w:pPr>
              <w:tabs>
                <w:tab w:val="left" w:pos="426"/>
              </w:tabs>
              <w:spacing w:before="120" w:after="120"/>
              <w:rPr>
                <w:rFonts w:cs="Arial"/>
                <w:lang w:val="en-GB"/>
              </w:rPr>
            </w:pPr>
            <w:r w:rsidRPr="00211D94">
              <w:rPr>
                <w:rFonts w:ascii="Segoe UI Symbol" w:eastAsia="MS Gothic" w:hAnsi="Segoe UI Symbol" w:cs="Segoe UI Symbol"/>
                <w:lang w:val="en-GB"/>
              </w:rPr>
              <w:t>☒</w:t>
            </w:r>
            <w:r w:rsidRPr="00211D94">
              <w:rPr>
                <w:rFonts w:cs="Arial"/>
                <w:lang w:val="en-GB"/>
              </w:rPr>
              <w:tab/>
              <w:t>Save the Sea</w:t>
            </w:r>
          </w:p>
          <w:p w14:paraId="4F7ED4B8"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Connect the Region</w:t>
            </w:r>
          </w:p>
          <w:p w14:paraId="4FB37747"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Increase Prosperity</w:t>
            </w:r>
          </w:p>
          <w:p w14:paraId="32F3AFDE" w14:textId="77777777" w:rsidR="002D16DB" w:rsidRPr="00211D94" w:rsidRDefault="002D16DB" w:rsidP="00F55865">
            <w:pPr>
              <w:tabs>
                <w:tab w:val="left" w:pos="426"/>
              </w:tabs>
              <w:spacing w:before="120" w:after="120"/>
              <w:rPr>
                <w:rFonts w:cs="Arial"/>
                <w:b/>
                <w:lang w:val="en-GB"/>
              </w:rPr>
            </w:pPr>
            <w:r w:rsidRPr="00211D94">
              <w:rPr>
                <w:rFonts w:cs="Arial"/>
                <w:b/>
                <w:lang w:val="en-GB"/>
              </w:rPr>
              <w:t>Policy areas</w:t>
            </w:r>
          </w:p>
          <w:p w14:paraId="49AE9FA7"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4.2 - Culture</w:t>
            </w:r>
          </w:p>
          <w:p w14:paraId="4B2FB8DC"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4.4 - Energy</w:t>
            </w:r>
          </w:p>
        </w:tc>
        <w:tc>
          <w:tcPr>
            <w:tcW w:w="4531" w:type="dxa"/>
            <w:shd w:val="clear" w:color="auto" w:fill="auto"/>
          </w:tcPr>
          <w:p w14:paraId="00D3BF0B"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4.5 - Hazards</w:t>
            </w:r>
          </w:p>
          <w:p w14:paraId="5654CAC8"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4.7 - Innovation</w:t>
            </w:r>
          </w:p>
          <w:p w14:paraId="0DF446EF"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4.8 - Nutri</w:t>
            </w:r>
          </w:p>
          <w:p w14:paraId="6F51E975"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4.12 - Tourism</w:t>
            </w:r>
          </w:p>
          <w:p w14:paraId="347614E8" w14:textId="77777777" w:rsidR="002D16DB" w:rsidRPr="00211D94" w:rsidRDefault="002D16DB" w:rsidP="00F55865">
            <w:pPr>
              <w:tabs>
                <w:tab w:val="left" w:pos="426"/>
              </w:tabs>
              <w:spacing w:before="120" w:after="120"/>
              <w:rPr>
                <w:rFonts w:cs="Arial"/>
                <w:b/>
                <w:lang w:val="en-GB"/>
              </w:rPr>
            </w:pPr>
            <w:r w:rsidRPr="00211D94">
              <w:rPr>
                <w:rFonts w:cs="Arial"/>
                <w:b/>
                <w:lang w:val="en-GB"/>
              </w:rPr>
              <w:t>Horizontal Actions</w:t>
            </w:r>
          </w:p>
          <w:p w14:paraId="310CD53C" w14:textId="77777777" w:rsidR="002D16DB" w:rsidRPr="00211D94" w:rsidRDefault="002D16DB" w:rsidP="00F55865">
            <w:pPr>
              <w:tabs>
                <w:tab w:val="left" w:pos="426"/>
              </w:tabs>
              <w:spacing w:before="120" w:after="120"/>
              <w:rPr>
                <w:rFonts w:cs="Arial"/>
                <w:lang w:val="en-GB"/>
              </w:rPr>
            </w:pPr>
            <w:r w:rsidRPr="00211D94">
              <w:rPr>
                <w:rFonts w:ascii="Segoe UI Symbol" w:hAnsi="Segoe UI Symbol" w:cs="Segoe UI Symbol"/>
                <w:lang w:val="en-GB"/>
              </w:rPr>
              <w:t>☒</w:t>
            </w:r>
            <w:r w:rsidRPr="00211D94">
              <w:rPr>
                <w:rFonts w:cs="Arial"/>
                <w:lang w:val="en-GB"/>
              </w:rPr>
              <w:tab/>
              <w:t>5.2 - Climate</w:t>
            </w:r>
          </w:p>
          <w:p w14:paraId="545D272D" w14:textId="77777777" w:rsidR="002D16DB" w:rsidRPr="00211D94" w:rsidRDefault="002D16DB" w:rsidP="00F55865">
            <w:pPr>
              <w:autoSpaceDE w:val="0"/>
              <w:autoSpaceDN w:val="0"/>
              <w:adjustRightInd w:val="0"/>
              <w:spacing w:before="120" w:after="120"/>
              <w:jc w:val="both"/>
              <w:rPr>
                <w:rFonts w:cs="Arial"/>
              </w:rPr>
            </w:pPr>
          </w:p>
        </w:tc>
      </w:tr>
    </w:tbl>
    <w:p w14:paraId="785CFB54" w14:textId="0C566B09" w:rsidR="002D16DB" w:rsidRPr="00211D94" w:rsidRDefault="002D16DB" w:rsidP="00844E01">
      <w:pPr>
        <w:autoSpaceDE w:val="0"/>
        <w:autoSpaceDN w:val="0"/>
        <w:adjustRightInd w:val="0"/>
        <w:spacing w:before="120" w:after="120"/>
        <w:rPr>
          <w:rFonts w:cs="Arial"/>
        </w:rPr>
      </w:pPr>
      <w:r w:rsidRPr="00211D94">
        <w:rPr>
          <w:rFonts w:cs="Arial"/>
        </w:rPr>
        <w:t xml:space="preserve">Koordynatorzy makroregionalni nie uczestniczą w </w:t>
      </w:r>
      <w:r w:rsidR="00A91AD1" w:rsidRPr="00211D94">
        <w:rPr>
          <w:rFonts w:cs="Arial"/>
        </w:rPr>
        <w:t>KM</w:t>
      </w:r>
      <w:r w:rsidRPr="00211D94">
        <w:rPr>
          <w:rFonts w:cs="Arial"/>
        </w:rPr>
        <w:t xml:space="preserve"> RPO WP. </w:t>
      </w:r>
    </w:p>
    <w:p w14:paraId="2222AF8B" w14:textId="6465D876" w:rsidR="002D16DB" w:rsidRPr="00211D94" w:rsidRDefault="002D16DB" w:rsidP="00844E01">
      <w:pPr>
        <w:autoSpaceDE w:val="0"/>
        <w:autoSpaceDN w:val="0"/>
        <w:adjustRightInd w:val="0"/>
        <w:spacing w:before="120" w:after="120"/>
        <w:rPr>
          <w:rFonts w:cs="Arial"/>
        </w:rPr>
      </w:pPr>
      <w:r w:rsidRPr="00211D94">
        <w:rPr>
          <w:rFonts w:cs="Arial"/>
        </w:rPr>
        <w:t>W ramach ww. OP, w których występuje bezpośrednie powiązanie pomiędzy RPO a SUERMB, wprowadzono mechanizm dodatkowych punktów podczas oceny dla tych projektów, które wyka</w:t>
      </w:r>
      <w:r w:rsidR="00A91AD1" w:rsidRPr="00211D94">
        <w:rPr>
          <w:rFonts w:cs="Arial"/>
        </w:rPr>
        <w:t>zały</w:t>
      </w:r>
      <w:r w:rsidRPr="00211D94">
        <w:rPr>
          <w:rFonts w:cs="Arial"/>
        </w:rPr>
        <w:t xml:space="preserve"> komplementarność z SUERMB. Przy ocenie b</w:t>
      </w:r>
      <w:r w:rsidR="00A91AD1" w:rsidRPr="00211D94">
        <w:rPr>
          <w:rFonts w:cs="Arial"/>
        </w:rPr>
        <w:t>rano</w:t>
      </w:r>
      <w:r w:rsidRPr="00211D94">
        <w:rPr>
          <w:rFonts w:cs="Arial"/>
        </w:rPr>
        <w:t xml:space="preserve"> się pod uwagę wsparcie wskaźników SUERMB, partnerstwo w projekcie na obszarze RMB oraz czy jest to tzw. Projekt Flagowy w SUERMB. </w:t>
      </w:r>
    </w:p>
    <w:p w14:paraId="2AD4DF83" w14:textId="51CFEE62" w:rsidR="002D16DB" w:rsidRPr="00211D94" w:rsidRDefault="00A91AD1" w:rsidP="00844E01">
      <w:pPr>
        <w:autoSpaceDE w:val="0"/>
        <w:autoSpaceDN w:val="0"/>
        <w:adjustRightInd w:val="0"/>
        <w:spacing w:before="120" w:after="120"/>
        <w:rPr>
          <w:rStyle w:val="bold"/>
          <w:rFonts w:eastAsia="Times New Roman" w:cs="Arial"/>
          <w:color w:val="00B0F0"/>
          <w:kern w:val="32"/>
          <w14:textFill>
            <w14:solidFill>
              <w14:srgbClr w14:val="00B0F0">
                <w14:lumMod w14:val="75000"/>
              </w14:srgbClr>
            </w14:solidFill>
          </w14:textFill>
        </w:rPr>
      </w:pPr>
      <w:r w:rsidRPr="00211D94">
        <w:rPr>
          <w:rFonts w:cs="Arial"/>
        </w:rPr>
        <w:t>W ramach realizacji Programu</w:t>
      </w:r>
      <w:r w:rsidR="002D16DB" w:rsidRPr="00211D94">
        <w:rPr>
          <w:rFonts w:cs="Arial"/>
        </w:rPr>
        <w:t xml:space="preserve"> </w:t>
      </w:r>
      <w:r w:rsidRPr="00211D94">
        <w:rPr>
          <w:rFonts w:cs="Arial"/>
        </w:rPr>
        <w:t xml:space="preserve">zidentyfikowano łącznie </w:t>
      </w:r>
      <w:r w:rsidRPr="00211D94">
        <w:rPr>
          <w:rFonts w:cs="Arial"/>
          <w:b/>
        </w:rPr>
        <w:t xml:space="preserve">183 </w:t>
      </w:r>
      <w:r w:rsidRPr="00211D94">
        <w:rPr>
          <w:rFonts w:cs="Arial"/>
        </w:rPr>
        <w:t>projekty</w:t>
      </w:r>
      <w:r w:rsidRPr="00211D94">
        <w:rPr>
          <w:rFonts w:cs="Arial"/>
          <w:b/>
        </w:rPr>
        <w:t xml:space="preserve"> </w:t>
      </w:r>
      <w:r w:rsidRPr="00211D94">
        <w:rPr>
          <w:rFonts w:cs="Arial"/>
        </w:rPr>
        <w:t xml:space="preserve">o wartości dofinansowania UE </w:t>
      </w:r>
      <w:r w:rsidRPr="00211D94">
        <w:rPr>
          <w:rFonts w:cs="Arial"/>
          <w:b/>
        </w:rPr>
        <w:t>205,8 mln EUR</w:t>
      </w:r>
      <w:r w:rsidR="002D16DB" w:rsidRPr="00211D94">
        <w:rPr>
          <w:rFonts w:cs="Arial"/>
        </w:rPr>
        <w:t>, które w sposób bezpośredni realiz</w:t>
      </w:r>
      <w:r w:rsidRPr="00211D94">
        <w:rPr>
          <w:rFonts w:cs="Arial"/>
        </w:rPr>
        <w:t>o</w:t>
      </w:r>
      <w:r w:rsidR="00275D03" w:rsidRPr="00211D94">
        <w:rPr>
          <w:rFonts w:cs="Arial"/>
        </w:rPr>
        <w:t>w</w:t>
      </w:r>
      <w:r w:rsidRPr="00211D94">
        <w:rPr>
          <w:rFonts w:cs="Arial"/>
        </w:rPr>
        <w:t>ały</w:t>
      </w:r>
      <w:r w:rsidR="002D16DB" w:rsidRPr="00211D94">
        <w:rPr>
          <w:rFonts w:cs="Arial"/>
        </w:rPr>
        <w:t xml:space="preserve"> SUERMB (tj. tych, które w ramach oceny strategicznej otrzymały dodatkowe punkty w ramach kryterium związanego z SUERMB</w:t>
      </w:r>
      <w:r w:rsidR="00275D03" w:rsidRPr="00211D94">
        <w:rPr>
          <w:rFonts w:cs="Arial"/>
        </w:rPr>
        <w:t>)</w:t>
      </w:r>
      <w:r w:rsidR="002D16DB" w:rsidRPr="00211D94">
        <w:rPr>
          <w:rFonts w:cs="Arial"/>
        </w:rPr>
        <w:t xml:space="preserve">. Ponadto zakontraktowano </w:t>
      </w:r>
      <w:r w:rsidR="003113CD" w:rsidRPr="00211D94">
        <w:rPr>
          <w:rFonts w:cs="Arial"/>
        </w:rPr>
        <w:t>5</w:t>
      </w:r>
      <w:r w:rsidR="00231445" w:rsidRPr="00211D94">
        <w:rPr>
          <w:rFonts w:cs="Arial"/>
        </w:rPr>
        <w:t>86</w:t>
      </w:r>
      <w:r w:rsidR="003113CD" w:rsidRPr="00211D94">
        <w:rPr>
          <w:rFonts w:cs="Arial"/>
        </w:rPr>
        <w:t xml:space="preserve"> </w:t>
      </w:r>
      <w:r w:rsidR="002D16DB" w:rsidRPr="00211D94">
        <w:rPr>
          <w:rFonts w:cs="Arial"/>
        </w:rPr>
        <w:t>projekt</w:t>
      </w:r>
      <w:r w:rsidR="00010DBF" w:rsidRPr="00211D94">
        <w:rPr>
          <w:rFonts w:cs="Arial"/>
        </w:rPr>
        <w:t>ów</w:t>
      </w:r>
      <w:r w:rsidR="002D16DB" w:rsidRPr="00211D94">
        <w:rPr>
          <w:rFonts w:cs="Arial"/>
        </w:rPr>
        <w:t xml:space="preserve"> ogólnie wpisujących się w cele SUERMB na łączną wartość dofinansowania UE równą </w:t>
      </w:r>
      <w:r w:rsidR="00231445" w:rsidRPr="00211D94">
        <w:rPr>
          <w:rFonts w:cs="Arial"/>
        </w:rPr>
        <w:t>760,6</w:t>
      </w:r>
      <w:r w:rsidR="002D16DB" w:rsidRPr="00211D94">
        <w:rPr>
          <w:rFonts w:cs="Arial"/>
        </w:rPr>
        <w:t xml:space="preserve"> mln EUR.</w:t>
      </w:r>
    </w:p>
    <w:p w14:paraId="1170F4FC" w14:textId="77A13816" w:rsidR="004C7649" w:rsidRPr="00211D94" w:rsidRDefault="00A30C7A" w:rsidP="00F55865">
      <w:pPr>
        <w:pStyle w:val="Nagwek2"/>
        <w:spacing w:before="120" w:after="120"/>
        <w:rPr>
          <w:rStyle w:val="bold"/>
          <w:rFonts w:eastAsia="Calibri" w:cs="Arial"/>
          <w:bCs w:val="0"/>
          <w:iCs w:val="0"/>
          <w:color w:val="FFFFFF" w:themeColor="background1"/>
          <w:sz w:val="24"/>
          <w:szCs w:val="22"/>
        </w:rPr>
      </w:pPr>
      <w:bookmarkStart w:id="193" w:name="_Toc214025308"/>
      <w:r w:rsidRPr="00211D94">
        <w:rPr>
          <w:rStyle w:val="bold"/>
          <w:rFonts w:cs="Arial"/>
          <w:color w:val="FFFFFF" w:themeColor="background1"/>
        </w:rPr>
        <w:t>1</w:t>
      </w:r>
      <w:r w:rsidR="004C7649" w:rsidRPr="00211D94">
        <w:rPr>
          <w:rStyle w:val="bold"/>
          <w:rFonts w:cs="Arial"/>
          <w:color w:val="FFFFFF" w:themeColor="background1"/>
        </w:rPr>
        <w:t>4.5</w:t>
      </w:r>
      <w:r w:rsidRPr="00211D94">
        <w:rPr>
          <w:rStyle w:val="bold"/>
          <w:rFonts w:cs="Arial"/>
          <w:color w:val="FFFFFF" w:themeColor="background1"/>
        </w:rPr>
        <w:t>.</w:t>
      </w:r>
      <w:r w:rsidR="004C7649" w:rsidRPr="00211D94">
        <w:rPr>
          <w:rStyle w:val="bold"/>
          <w:rFonts w:cs="Arial"/>
          <w:color w:val="FFFFFF" w:themeColor="background1"/>
        </w:rPr>
        <w:t xml:space="preserve"> W stosownych przypadkach — postępy w realizacji przedsięwzięć w dziedzinie innowacji społecznych</w:t>
      </w:r>
      <w:bookmarkEnd w:id="193"/>
      <w:r w:rsidR="004C7649" w:rsidRPr="00211D94">
        <w:rPr>
          <w:rStyle w:val="bold"/>
          <w:rFonts w:cs="Arial"/>
          <w:color w:val="FFFFFF" w:themeColor="background1"/>
        </w:rPr>
        <w:t xml:space="preserve"> </w:t>
      </w:r>
    </w:p>
    <w:p w14:paraId="3573255D" w14:textId="77777777" w:rsidR="003D490C" w:rsidRPr="00211D94" w:rsidRDefault="003D490C" w:rsidP="00F55865">
      <w:pPr>
        <w:spacing w:before="120" w:after="120"/>
        <w:rPr>
          <w:rStyle w:val="bold"/>
          <w:rFonts w:eastAsia="Times New Roman" w:cs="Arial"/>
          <w:bCs/>
          <w:iCs/>
          <w:kern w:val="32"/>
          <w:sz w:val="28"/>
          <w:szCs w:val="24"/>
        </w:rPr>
      </w:pPr>
      <w:r w:rsidRPr="00211D94">
        <w:rPr>
          <w:rStyle w:val="bold"/>
          <w:rFonts w:eastAsia="Times New Roman" w:cs="Arial"/>
          <w:kern w:val="32"/>
          <w:szCs w:val="24"/>
        </w:rPr>
        <w:t>Nie dotyczy RPO WP.</w:t>
      </w:r>
    </w:p>
    <w:p w14:paraId="1D6D3502" w14:textId="77777777" w:rsidR="004C7649" w:rsidRPr="00211D94" w:rsidRDefault="004C7649" w:rsidP="00F55865">
      <w:pPr>
        <w:pStyle w:val="Nagwek2"/>
        <w:spacing w:before="120" w:after="120"/>
        <w:rPr>
          <w:rStyle w:val="bold"/>
          <w:rFonts w:eastAsia="Calibri" w:cs="Arial"/>
          <w:bCs w:val="0"/>
          <w:iCs w:val="0"/>
          <w:color w:val="FFFFFF" w:themeColor="background1"/>
          <w:sz w:val="24"/>
          <w:szCs w:val="24"/>
        </w:rPr>
      </w:pPr>
      <w:bookmarkStart w:id="194" w:name="_Toc214025309"/>
      <w:r w:rsidRPr="00211D94">
        <w:rPr>
          <w:rFonts w:cs="Arial"/>
          <w:color w:val="FFFFFF" w:themeColor="background1"/>
        </w:rPr>
        <w:t>14.6 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z niepełnosprawnościami, długotrwale bezrobotnych oraz młodych ludzi, którzy nie pracują, w tym, w stosownych przypadkach, wykorzystane środki finansowe.</w:t>
      </w:r>
      <w:bookmarkEnd w:id="194"/>
      <w:r w:rsidRPr="00211D94">
        <w:rPr>
          <w:rStyle w:val="bold"/>
          <w:rFonts w:cs="Arial"/>
          <w:color w:val="FFFFFF" w:themeColor="background1"/>
          <w:sz w:val="24"/>
          <w:szCs w:val="24"/>
        </w:rPr>
        <w:t xml:space="preserve"> </w:t>
      </w:r>
    </w:p>
    <w:p w14:paraId="448638E2" w14:textId="322E13F7" w:rsidR="00DF3B4A" w:rsidRPr="00211D94" w:rsidRDefault="004004EE" w:rsidP="00F55865">
      <w:pPr>
        <w:spacing w:before="120" w:after="120"/>
        <w:rPr>
          <w:rFonts w:cs="Arial"/>
          <w:lang w:eastAsia="pl-PL"/>
        </w:rPr>
      </w:pPr>
      <w:bookmarkStart w:id="195" w:name="_Hlk2927735"/>
      <w:r w:rsidRPr="00211D94">
        <w:rPr>
          <w:rFonts w:cs="Arial"/>
          <w:lang w:eastAsia="pl-PL"/>
        </w:rPr>
        <w:t xml:space="preserve">Zgodnie </w:t>
      </w:r>
      <w:r w:rsidR="00DF3B4A" w:rsidRPr="00211D94">
        <w:rPr>
          <w:rFonts w:cs="Arial"/>
          <w:lang w:eastAsia="pl-PL"/>
        </w:rPr>
        <w:t>z SRWP 2020 i RPO WP istotną dla interwencji publicznej cechą regionu był</w:t>
      </w:r>
      <w:r w:rsidR="00886FF8" w:rsidRPr="00211D94">
        <w:rPr>
          <w:rFonts w:cs="Arial"/>
          <w:lang w:eastAsia="pl-PL"/>
        </w:rPr>
        <w:t>o</w:t>
      </w:r>
      <w:r w:rsidR="00DF3B4A" w:rsidRPr="00211D94">
        <w:rPr>
          <w:rFonts w:cs="Arial"/>
          <w:lang w:eastAsia="pl-PL"/>
        </w:rPr>
        <w:t xml:space="preserve"> niekorzystne zróżnicowani</w:t>
      </w:r>
      <w:r w:rsidR="00886FF8" w:rsidRPr="00211D94">
        <w:rPr>
          <w:rFonts w:cs="Arial"/>
          <w:lang w:eastAsia="pl-PL"/>
        </w:rPr>
        <w:t>e</w:t>
      </w:r>
      <w:r w:rsidR="00DF3B4A" w:rsidRPr="00211D94">
        <w:rPr>
          <w:rFonts w:cs="Arial"/>
          <w:lang w:eastAsia="pl-PL"/>
        </w:rPr>
        <w:t xml:space="preserve"> przestrzenne w zakresie poziomu rozwoju społeczno-gospodarczego. Dysproporcje te przejawiały się różnym poziomem aktywności społecznej (m.in. edukacyjnej, kulturalnej, obywatelskiej) i gospodarczej (w  tym zawodowej). </w:t>
      </w:r>
    </w:p>
    <w:p w14:paraId="6C4104EC" w14:textId="071648D0" w:rsidR="00DF3B4A" w:rsidRPr="00211D94" w:rsidRDefault="00DF3B4A" w:rsidP="00F55865">
      <w:pPr>
        <w:spacing w:before="120" w:after="120"/>
        <w:rPr>
          <w:rFonts w:cs="Arial"/>
          <w:lang w:eastAsia="pl-PL"/>
        </w:rPr>
      </w:pPr>
      <w:r w:rsidRPr="00211D94">
        <w:rPr>
          <w:rFonts w:cs="Arial"/>
          <w:lang w:eastAsia="pl-PL"/>
        </w:rPr>
        <w:t>Cel związany z wyrównywaniem szans obszarów lub grup zagrożonych marginalizacją realizowany był w ramach EFS we wszystkich OP poprzez preferencje terytorialne i tematyczne oraz kompleksową, zintegrowaną interwencję.</w:t>
      </w:r>
    </w:p>
    <w:p w14:paraId="250F303F" w14:textId="3782AA88" w:rsidR="00DF3B4A" w:rsidRPr="00211D94" w:rsidRDefault="00DF3B4A" w:rsidP="00F55865">
      <w:pPr>
        <w:spacing w:before="120" w:after="120"/>
        <w:rPr>
          <w:rFonts w:cs="Arial"/>
          <w:lang w:eastAsia="pl-PL"/>
        </w:rPr>
      </w:pPr>
      <w:r w:rsidRPr="00211D94">
        <w:rPr>
          <w:rFonts w:cs="Arial"/>
          <w:lang w:eastAsia="pl-PL"/>
        </w:rPr>
        <w:t xml:space="preserve">IZ RPO WP w ramach EFS zorganizowała nabory na projekty realizujące m.in. powyższy cel. Wsparcie kierowane było do osób pozostających bez pracy o najmniejszych szansach na znalezienie zatrudnienia, osób zagrożonych wykluczeniem z rynku pracy z powodu chorób cywilizacyjnych, osób zagrożonych ubóstwem i wykluczeniem społecznym - w tym osób z niepełnosprawnościami. </w:t>
      </w:r>
    </w:p>
    <w:p w14:paraId="52BAA55F" w14:textId="77777777" w:rsidR="00DF3B4A" w:rsidRPr="00211D94" w:rsidRDefault="00DF3B4A" w:rsidP="00F55865">
      <w:pPr>
        <w:spacing w:before="120" w:after="120"/>
        <w:rPr>
          <w:rFonts w:cs="Arial"/>
          <w:lang w:eastAsia="pl-PL"/>
        </w:rPr>
      </w:pPr>
      <w:r w:rsidRPr="00211D94">
        <w:rPr>
          <w:rFonts w:cs="Arial"/>
          <w:lang w:eastAsia="pl-PL"/>
        </w:rPr>
        <w:t>Cel wyrównywania szans obszarów lub grup zagrożonych marginalizacją realizowany był także poprzez kryteria oceny np.:</w:t>
      </w:r>
    </w:p>
    <w:p w14:paraId="5D670819" w14:textId="77777777" w:rsidR="00DF3B4A" w:rsidRPr="00211D94" w:rsidRDefault="00DF3B4A" w:rsidP="00F55865">
      <w:pPr>
        <w:numPr>
          <w:ilvl w:val="0"/>
          <w:numId w:val="31"/>
        </w:numPr>
        <w:spacing w:before="120" w:after="120"/>
        <w:rPr>
          <w:rFonts w:cs="Arial"/>
          <w:lang w:eastAsia="pl-PL"/>
        </w:rPr>
      </w:pPr>
      <w:r w:rsidRPr="00211D94">
        <w:rPr>
          <w:rFonts w:cs="Arial"/>
          <w:lang w:eastAsia="pl-PL"/>
        </w:rPr>
        <w:t>w PI 8iv (opieka nad dziećmi do lat 3) - wymóg skierowania projektu m.in. do osób bezrobotnych lub osób biernych zawodowo pozostających poza rynkiem pracy ze względu na opiekę nad dziećmi w do lat 3, w tym do osób, które przerwały karierę zawodową ze względu na urodzenie dziecka lub przebywających na urlopach wychowawczych;</w:t>
      </w:r>
    </w:p>
    <w:p w14:paraId="54AE9813" w14:textId="77777777" w:rsidR="00DF3B4A" w:rsidRPr="00211D94" w:rsidRDefault="00DF3B4A" w:rsidP="00F55865">
      <w:pPr>
        <w:numPr>
          <w:ilvl w:val="0"/>
          <w:numId w:val="31"/>
        </w:numPr>
        <w:spacing w:before="120" w:after="120"/>
        <w:rPr>
          <w:rFonts w:cs="Arial"/>
          <w:lang w:eastAsia="pl-PL"/>
        </w:rPr>
      </w:pPr>
      <w:r w:rsidRPr="00211D94">
        <w:rPr>
          <w:rFonts w:cs="Arial"/>
          <w:lang w:eastAsia="pl-PL"/>
        </w:rPr>
        <w:t xml:space="preserve">w PI 8vi (zdrowie na rynku pracy) - wymóg skierowania projektu do osób w wieku aktywności zawodowej, będących w grupie podwyższonego ryzyka, które zostaną objęte badaniami </w:t>
      </w:r>
      <w:proofErr w:type="spellStart"/>
      <w:r w:rsidRPr="00211D94">
        <w:rPr>
          <w:rFonts w:cs="Arial"/>
          <w:lang w:eastAsia="pl-PL"/>
        </w:rPr>
        <w:t>skriningowymi</w:t>
      </w:r>
      <w:proofErr w:type="spellEnd"/>
      <w:r w:rsidRPr="00211D94">
        <w:rPr>
          <w:rFonts w:cs="Arial"/>
          <w:lang w:eastAsia="pl-PL"/>
        </w:rPr>
        <w:t xml:space="preserve"> (przesiewowymi) w celu wczesnego wykrycia choroby cukrzycy;</w:t>
      </w:r>
    </w:p>
    <w:p w14:paraId="490CE772" w14:textId="2AD4F5C1" w:rsidR="00DF3B4A" w:rsidRPr="00211D94" w:rsidRDefault="00DF3B4A" w:rsidP="00F55865">
      <w:pPr>
        <w:numPr>
          <w:ilvl w:val="0"/>
          <w:numId w:val="31"/>
        </w:numPr>
        <w:spacing w:before="120" w:after="120"/>
        <w:rPr>
          <w:rFonts w:cs="Arial"/>
          <w:lang w:eastAsia="pl-PL"/>
        </w:rPr>
      </w:pPr>
      <w:r w:rsidRPr="00211D94">
        <w:rPr>
          <w:rFonts w:cs="Arial"/>
          <w:lang w:eastAsia="pl-PL"/>
        </w:rPr>
        <w:t xml:space="preserve">w PI 10i (edukacja przedszkolna) - preferencja realizacji projektu na obszarach o odsetku dzieci objętych wychowaniem przedszkolnym poniżej średniej wojewódzkiej; </w:t>
      </w:r>
    </w:p>
    <w:p w14:paraId="466489C2" w14:textId="095925C3" w:rsidR="001756A0" w:rsidRPr="00211D94" w:rsidRDefault="00DF3B4A" w:rsidP="001756A0">
      <w:pPr>
        <w:numPr>
          <w:ilvl w:val="0"/>
          <w:numId w:val="31"/>
        </w:numPr>
        <w:spacing w:before="120" w:after="120"/>
        <w:rPr>
          <w:rFonts w:cs="Arial"/>
          <w:lang w:eastAsia="pl-PL"/>
        </w:rPr>
      </w:pPr>
      <w:r w:rsidRPr="00211D94">
        <w:rPr>
          <w:rFonts w:cs="Arial"/>
          <w:lang w:eastAsia="pl-PL"/>
        </w:rPr>
        <w:t>w PI 9v (podmioty ekonomii społecznej) – preferencja realizacji projektu przyczyniającego się do zatrudnienia w podmiocie ekonomii społecznej osób wykluczonych i zagrożonych wykluczeniem społecznym.</w:t>
      </w:r>
    </w:p>
    <w:p w14:paraId="0F17D264" w14:textId="792174F7" w:rsidR="00DF3B4A" w:rsidRPr="00211D94" w:rsidRDefault="001756A0" w:rsidP="001756A0">
      <w:pPr>
        <w:spacing w:before="120" w:after="120"/>
        <w:rPr>
          <w:rFonts w:cs="Arial"/>
          <w:lang w:eastAsia="pl-PL"/>
        </w:rPr>
      </w:pPr>
      <w:r w:rsidRPr="00211D94">
        <w:rPr>
          <w:rFonts w:cs="Arial"/>
          <w:lang w:eastAsia="pl-PL"/>
        </w:rPr>
        <w:t xml:space="preserve">W </w:t>
      </w:r>
      <w:r w:rsidR="00DF3B4A" w:rsidRPr="00211D94">
        <w:rPr>
          <w:rFonts w:cs="Arial"/>
          <w:lang w:eastAsia="pl-PL"/>
        </w:rPr>
        <w:t>ramach RPO WP objęto wsparciem m.in.:</w:t>
      </w:r>
    </w:p>
    <w:p w14:paraId="1FEEEEDE" w14:textId="77777777" w:rsidR="00DF3B4A" w:rsidRPr="00211D94" w:rsidRDefault="00DF3B4A" w:rsidP="00F55865">
      <w:pPr>
        <w:numPr>
          <w:ilvl w:val="0"/>
          <w:numId w:val="32"/>
        </w:numPr>
        <w:spacing w:before="120" w:after="120"/>
        <w:rPr>
          <w:rFonts w:cs="Arial"/>
          <w:lang w:eastAsia="pl-PL"/>
        </w:rPr>
      </w:pPr>
      <w:r w:rsidRPr="00211D94">
        <w:rPr>
          <w:rFonts w:cs="Arial"/>
          <w:lang w:eastAsia="pl-PL"/>
        </w:rPr>
        <w:t xml:space="preserve">osoby pozostające bez pracy (w tym szczególnie w wieku 50 lat i więcej, </w:t>
      </w:r>
      <w:r w:rsidRPr="00211D94">
        <w:rPr>
          <w:rFonts w:cs="Arial"/>
          <w:lang w:eastAsia="pl-PL"/>
        </w:rPr>
        <w:br/>
        <w:t>z niepełnosprawnościami, długotrwale bezrobotne oraz wchodzące/powracające po przerwie na rynek pracy) – 41 991 osób (PI 8i, 8iii, 8iv),</w:t>
      </w:r>
    </w:p>
    <w:p w14:paraId="2C4E7864" w14:textId="2FD27115" w:rsidR="00DF3B4A" w:rsidRPr="00211D94" w:rsidRDefault="00DF3B4A" w:rsidP="00F55865">
      <w:pPr>
        <w:numPr>
          <w:ilvl w:val="0"/>
          <w:numId w:val="32"/>
        </w:numPr>
        <w:spacing w:before="120" w:after="120"/>
        <w:rPr>
          <w:rFonts w:cs="Arial"/>
          <w:lang w:eastAsia="pl-PL"/>
        </w:rPr>
      </w:pPr>
      <w:r w:rsidRPr="00211D94">
        <w:rPr>
          <w:rFonts w:cs="Arial"/>
          <w:lang w:eastAsia="pl-PL"/>
        </w:rPr>
        <w:t xml:space="preserve">osoby o niskich kwalifikacjach zawodowych oraz pracownicy w wieku 50 lat </w:t>
      </w:r>
      <w:r w:rsidRPr="00211D94">
        <w:rPr>
          <w:rFonts w:cs="Arial"/>
          <w:lang w:eastAsia="pl-PL"/>
        </w:rPr>
        <w:br/>
        <w:t>i więcej – odpowiednio 52 809 i 28 963 os</w:t>
      </w:r>
      <w:r w:rsidR="001756A0" w:rsidRPr="00211D94">
        <w:rPr>
          <w:rFonts w:cs="Arial"/>
          <w:lang w:eastAsia="pl-PL"/>
        </w:rPr>
        <w:t>o</w:t>
      </w:r>
      <w:r w:rsidRPr="00211D94">
        <w:rPr>
          <w:rFonts w:cs="Arial"/>
          <w:lang w:eastAsia="pl-PL"/>
        </w:rPr>
        <w:t>b</w:t>
      </w:r>
      <w:r w:rsidR="001756A0" w:rsidRPr="00211D94">
        <w:rPr>
          <w:rFonts w:cs="Arial"/>
          <w:lang w:eastAsia="pl-PL"/>
        </w:rPr>
        <w:t>y</w:t>
      </w:r>
      <w:r w:rsidRPr="00211D94">
        <w:rPr>
          <w:rFonts w:cs="Arial"/>
          <w:lang w:eastAsia="pl-PL"/>
        </w:rPr>
        <w:t xml:space="preserve"> (PI 10 iii),</w:t>
      </w:r>
    </w:p>
    <w:p w14:paraId="596D6194" w14:textId="37490C78" w:rsidR="00DF3B4A" w:rsidRPr="00211D94" w:rsidRDefault="00DF3B4A" w:rsidP="00F55865">
      <w:pPr>
        <w:numPr>
          <w:ilvl w:val="0"/>
          <w:numId w:val="32"/>
        </w:numPr>
        <w:spacing w:before="120" w:after="120"/>
        <w:rPr>
          <w:rFonts w:cs="Arial"/>
          <w:lang w:eastAsia="pl-PL"/>
        </w:rPr>
      </w:pPr>
      <w:r w:rsidRPr="00211D94">
        <w:rPr>
          <w:rFonts w:cs="Arial"/>
          <w:lang w:eastAsia="pl-PL"/>
        </w:rPr>
        <w:t>osoby zagrożone zwolnieniem i osoby zwolnione z pracy z przyczyn dotyczących zakładu pracy – 2 753 osoby (PI 8v),</w:t>
      </w:r>
    </w:p>
    <w:p w14:paraId="54454F05" w14:textId="77777777" w:rsidR="00DF3B4A" w:rsidRPr="00211D94" w:rsidRDefault="00DF3B4A" w:rsidP="00F55865">
      <w:pPr>
        <w:numPr>
          <w:ilvl w:val="0"/>
          <w:numId w:val="32"/>
        </w:numPr>
        <w:spacing w:before="120" w:after="120"/>
        <w:rPr>
          <w:rFonts w:cs="Arial"/>
          <w:lang w:eastAsia="pl-PL"/>
        </w:rPr>
      </w:pPr>
      <w:r w:rsidRPr="00211D94">
        <w:rPr>
          <w:rFonts w:cs="Arial"/>
          <w:lang w:eastAsia="pl-PL"/>
        </w:rPr>
        <w:t>osoby dotknięte i zagrożone ubóstwem i wykluczeniem społecznym oraz ich rodziny – 20 806 osób (PI 9i, 9iv),</w:t>
      </w:r>
    </w:p>
    <w:p w14:paraId="01F54E02" w14:textId="08702945" w:rsidR="00DF3B4A" w:rsidRPr="00211D94" w:rsidRDefault="00DF3B4A" w:rsidP="00F55865">
      <w:pPr>
        <w:numPr>
          <w:ilvl w:val="0"/>
          <w:numId w:val="32"/>
        </w:numPr>
        <w:spacing w:before="120" w:after="120"/>
        <w:rPr>
          <w:rFonts w:cs="Arial"/>
          <w:lang w:eastAsia="pl-PL"/>
        </w:rPr>
      </w:pPr>
      <w:r w:rsidRPr="00211D94">
        <w:rPr>
          <w:rFonts w:cs="Arial"/>
          <w:lang w:eastAsia="pl-PL"/>
        </w:rPr>
        <w:t>osoby z niepełnosprawnościami – 37 628 osób (EFS),</w:t>
      </w:r>
    </w:p>
    <w:p w14:paraId="3ABE5860" w14:textId="51EBEF18" w:rsidR="00DF3B4A" w:rsidRPr="00211D94" w:rsidRDefault="00DF3B4A" w:rsidP="00F55865">
      <w:pPr>
        <w:spacing w:before="120" w:after="120"/>
        <w:rPr>
          <w:rFonts w:cs="Arial"/>
          <w:lang w:eastAsia="pl-PL"/>
        </w:rPr>
      </w:pPr>
      <w:r w:rsidRPr="00211D94">
        <w:rPr>
          <w:rFonts w:cs="Arial"/>
          <w:lang w:eastAsia="pl-PL"/>
        </w:rPr>
        <w:t>Ponadto IZ RPO WP zachęcała beneficjentów do stosowania klauzul społecznych przy realizacji projektów, szczególnie w usługach społecznych, programach zdrowotnych i ekonomii społecznej.</w:t>
      </w:r>
    </w:p>
    <w:p w14:paraId="239EAEB3" w14:textId="7ACCA6E2" w:rsidR="00A30C7A" w:rsidRPr="00211D94" w:rsidRDefault="004C7649" w:rsidP="00F55865">
      <w:pPr>
        <w:pStyle w:val="Nagwek1"/>
        <w:spacing w:before="120" w:after="120"/>
        <w:rPr>
          <w:rStyle w:val="bold"/>
          <w:rFonts w:eastAsia="Calibri" w:cs="Arial"/>
          <w:b/>
          <w:bCs w:val="0"/>
          <w:color w:val="FFFFFF" w:themeColor="background1"/>
          <w:kern w:val="0"/>
          <w:sz w:val="24"/>
          <w:szCs w:val="24"/>
        </w:rPr>
      </w:pPr>
      <w:bookmarkStart w:id="196" w:name="_Toc214025310"/>
      <w:bookmarkEnd w:id="195"/>
      <w:r w:rsidRPr="00211D94">
        <w:rPr>
          <w:rFonts w:cs="Arial"/>
          <w:color w:val="FFFFFF" w:themeColor="background1"/>
          <w:szCs w:val="24"/>
        </w:rPr>
        <w:t xml:space="preserve">15. </w:t>
      </w:r>
      <w:r w:rsidR="00274503" w:rsidRPr="00211D94">
        <w:rPr>
          <w:rFonts w:cs="Arial"/>
          <w:color w:val="FFFFFF" w:themeColor="background1"/>
          <w:szCs w:val="24"/>
        </w:rPr>
        <w:t xml:space="preserve">Informacja finansowa na poziomie osi priorytetowych i poziomie programu </w:t>
      </w:r>
      <w:r w:rsidRPr="00211D94">
        <w:rPr>
          <w:rFonts w:cs="Arial"/>
          <w:color w:val="FFFFFF" w:themeColor="background1"/>
          <w:szCs w:val="24"/>
        </w:rPr>
        <w:t xml:space="preserve">(art. 21 ust. 2 i art. 22 ust. 7 rozporządzenia </w:t>
      </w:r>
      <w:r w:rsidR="00726583" w:rsidRPr="00211D94">
        <w:rPr>
          <w:rFonts w:cs="Arial"/>
          <w:color w:val="FFFFFF" w:themeColor="background1"/>
          <w:szCs w:val="24"/>
        </w:rPr>
        <w:t>ogólnego</w:t>
      </w:r>
      <w:r w:rsidRPr="00211D94">
        <w:rPr>
          <w:rFonts w:cs="Arial"/>
          <w:color w:val="FFFFFF" w:themeColor="background1"/>
          <w:szCs w:val="24"/>
        </w:rPr>
        <w:t>)</w:t>
      </w:r>
      <w:bookmarkEnd w:id="196"/>
      <w:r w:rsidRPr="00211D94">
        <w:rPr>
          <w:rStyle w:val="bold"/>
          <w:rFonts w:cs="Arial"/>
          <w:b/>
          <w:color w:val="FFFFFF" w:themeColor="background1"/>
          <w:szCs w:val="24"/>
        </w:rPr>
        <w:t xml:space="preserve"> </w:t>
      </w:r>
    </w:p>
    <w:p w14:paraId="7C667E8D" w14:textId="1FC7FA36" w:rsidR="002D16DB" w:rsidRPr="00211D94" w:rsidRDefault="002D16DB" w:rsidP="00F55865">
      <w:pPr>
        <w:spacing w:before="120" w:after="120"/>
        <w:rPr>
          <w:rStyle w:val="bold"/>
          <w:rFonts w:eastAsia="Times New Roman" w:cs="Arial"/>
          <w:kern w:val="32"/>
        </w:rPr>
      </w:pPr>
      <w:r w:rsidRPr="00211D94">
        <w:rPr>
          <w:rStyle w:val="bold"/>
          <w:rFonts w:eastAsia="Times New Roman" w:cs="Arial"/>
          <w:kern w:val="32"/>
        </w:rPr>
        <w:t>W celu oceny postępów w drodze do osiągnięcia celów końcowych wyznaczonych w odniesieniu do wskaźników finansowych w 2023 r. uzupełniona została w tabeli 6 kolumna 13.</w:t>
      </w:r>
    </w:p>
    <w:p w14:paraId="4BF87E26" w14:textId="77777777" w:rsidR="00CD7F22" w:rsidRPr="00211D94" w:rsidRDefault="00A30C7A" w:rsidP="00F55865">
      <w:pPr>
        <w:pStyle w:val="Nagwek1"/>
        <w:spacing w:before="120" w:after="120"/>
        <w:rPr>
          <w:rFonts w:cs="Arial"/>
          <w:color w:val="FFFFFF" w:themeColor="background1"/>
          <w:szCs w:val="24"/>
        </w:rPr>
      </w:pPr>
      <w:bookmarkStart w:id="197" w:name="_Toc214025311"/>
      <w:r w:rsidRPr="00211D94">
        <w:rPr>
          <w:rFonts w:cs="Arial"/>
          <w:color w:val="FFFFFF" w:themeColor="background1"/>
          <w:szCs w:val="24"/>
        </w:rPr>
        <w:t xml:space="preserve">16. </w:t>
      </w:r>
      <w:r w:rsidR="00274503" w:rsidRPr="00211D94">
        <w:rPr>
          <w:rFonts w:cs="Arial"/>
          <w:color w:val="FFFFFF" w:themeColor="background1"/>
          <w:szCs w:val="24"/>
        </w:rPr>
        <w:t xml:space="preserve">Inteligentny, trwały wzrost gospodarczy sprzyjający włączeniu społecznemu </w:t>
      </w:r>
      <w:r w:rsidRPr="00211D94">
        <w:rPr>
          <w:rFonts w:cs="Arial"/>
          <w:color w:val="FFFFFF" w:themeColor="background1"/>
          <w:szCs w:val="24"/>
        </w:rPr>
        <w:t>(sprawozdanie z postępów osiągniętych w ramach danego wariantu)</w:t>
      </w:r>
      <w:bookmarkEnd w:id="197"/>
    </w:p>
    <w:p w14:paraId="4318FE29" w14:textId="3338DBE5" w:rsidR="002D16DB" w:rsidRPr="00211D94" w:rsidRDefault="002D16DB" w:rsidP="00F55865">
      <w:pPr>
        <w:spacing w:before="120" w:after="120"/>
        <w:rPr>
          <w:rFonts w:cs="Arial"/>
          <w:szCs w:val="24"/>
        </w:rPr>
      </w:pPr>
      <w:r w:rsidRPr="00211D94">
        <w:rPr>
          <w:rFonts w:cs="Arial"/>
          <w:szCs w:val="24"/>
        </w:rPr>
        <w:t xml:space="preserve">RPO WP wniósł istotny wkład w realizację celów unijnej strategii na rzecz inteligentnego zrównoważonego wzrostu sprzyjającego włączeniu społecznemu (Strategia Europa 2020). Zostało to potwierdzone przeprowadzoną w roku 2019 ewaluacją </w:t>
      </w:r>
      <w:proofErr w:type="spellStart"/>
      <w:r w:rsidRPr="00211D94">
        <w:rPr>
          <w:rFonts w:cs="Arial"/>
          <w:szCs w:val="24"/>
        </w:rPr>
        <w:t>mid</w:t>
      </w:r>
      <w:proofErr w:type="spellEnd"/>
      <w:r w:rsidRPr="00211D94">
        <w:rPr>
          <w:rFonts w:cs="Arial"/>
          <w:szCs w:val="24"/>
        </w:rPr>
        <w:t>-term Programu –</w:t>
      </w:r>
      <w:r w:rsidR="006E61C6" w:rsidRPr="00211D94">
        <w:rPr>
          <w:rFonts w:cs="Arial"/>
          <w:szCs w:val="24"/>
        </w:rPr>
        <w:t xml:space="preserve"> </w:t>
      </w:r>
      <w:r w:rsidRPr="00211D94">
        <w:rPr>
          <w:rFonts w:cs="Arial"/>
          <w:szCs w:val="24"/>
        </w:rPr>
        <w:t xml:space="preserve">przeanalizowano bezpośredni i pośredni wpływ projektów realizowanych w różnych osiach priorytetowych RPO WP na realizację poszczególnych celów Strategii. </w:t>
      </w:r>
    </w:p>
    <w:p w14:paraId="30DB4A34" w14:textId="6DCA85D0" w:rsidR="002D16DB" w:rsidRPr="00211D94" w:rsidRDefault="002D16DB" w:rsidP="00F55865">
      <w:pPr>
        <w:spacing w:before="120" w:after="120"/>
        <w:rPr>
          <w:rFonts w:cs="Arial"/>
          <w:szCs w:val="24"/>
        </w:rPr>
      </w:pPr>
      <w:r w:rsidRPr="00211D94">
        <w:rPr>
          <w:rFonts w:cs="Arial"/>
          <w:szCs w:val="24"/>
        </w:rPr>
        <w:t xml:space="preserve">Należy wskazać, iż badania i rozwój były najsilniej wspierane poprzez OP1. Realizowane projekty miały duże znaczenie w skali regionalnej, jednak </w:t>
      </w:r>
      <w:r w:rsidR="006B3230" w:rsidRPr="00211D94">
        <w:rPr>
          <w:rFonts w:cs="Arial"/>
          <w:szCs w:val="24"/>
        </w:rPr>
        <w:t xml:space="preserve">w </w:t>
      </w:r>
      <w:r w:rsidRPr="00211D94">
        <w:rPr>
          <w:rFonts w:cs="Arial"/>
          <w:szCs w:val="24"/>
        </w:rPr>
        <w:t>ograniczonym stopniu zwiększały przewagi konkurencyjne Pomorza w zakresie B+R w skali kraju czy tym bardziej Europy. Nie jest to zjawisko negatywne – największe przedsięwzięcia były bowiem wspierane na poziomie centralnym.</w:t>
      </w:r>
      <w:r w:rsidR="006B3230" w:rsidRPr="00211D94">
        <w:rPr>
          <w:rFonts w:cs="Arial"/>
          <w:szCs w:val="24"/>
        </w:rPr>
        <w:t xml:space="preserve"> </w:t>
      </w:r>
      <w:r w:rsidRPr="00211D94">
        <w:rPr>
          <w:rFonts w:cs="Arial"/>
          <w:szCs w:val="24"/>
        </w:rPr>
        <w:t xml:space="preserve">Efekty RPO WP miały zaś za zadanie rozwiązywać lokalne problemy/stymulować potencjały. Analiza wniosków o dofinansowanie pozwoliła stwierdzić, że beneficjenci w zdecydowanej większości realizowali przemyślane przedsięwzięcia, odpowiadające na konkretne wyzwania i mogące realnie przełożyć się na stymulowanie B+R w regionie. Co więcej, projekty tego typu bezpośrednio wpływały na wskaźnik Strategii dot. zwiększania nakładów na działalność B+R. </w:t>
      </w:r>
    </w:p>
    <w:p w14:paraId="67BA8887" w14:textId="7B1882C2" w:rsidR="002D16DB" w:rsidRPr="00211D94" w:rsidRDefault="002D16DB" w:rsidP="00F55865">
      <w:pPr>
        <w:spacing w:before="120" w:after="120"/>
        <w:rPr>
          <w:rFonts w:cs="Arial"/>
          <w:szCs w:val="24"/>
        </w:rPr>
      </w:pPr>
      <w:r w:rsidRPr="00211D94">
        <w:rPr>
          <w:rFonts w:cs="Arial"/>
          <w:szCs w:val="24"/>
        </w:rPr>
        <w:t>Cele dotyczące zatrudnienia realizowane były głównie w ramach OP</w:t>
      </w:r>
      <w:r w:rsidR="008B5606" w:rsidRPr="00211D94">
        <w:rPr>
          <w:rFonts w:cs="Arial"/>
          <w:szCs w:val="24"/>
        </w:rPr>
        <w:t>2</w:t>
      </w:r>
      <w:r w:rsidRPr="00211D94">
        <w:rPr>
          <w:rFonts w:cs="Arial"/>
          <w:szCs w:val="24"/>
        </w:rPr>
        <w:t xml:space="preserve"> i OP</w:t>
      </w:r>
      <w:r w:rsidR="008B5606" w:rsidRPr="00211D94">
        <w:rPr>
          <w:rFonts w:cs="Arial"/>
          <w:szCs w:val="24"/>
        </w:rPr>
        <w:t>5</w:t>
      </w:r>
      <w:r w:rsidRPr="00211D94">
        <w:rPr>
          <w:rFonts w:cs="Arial"/>
          <w:szCs w:val="24"/>
        </w:rPr>
        <w:t>, z czego w przypadku OP5 stanowiły one trzon interwencji, zaś dla OP2</w:t>
      </w:r>
      <w:r w:rsidR="008B5606" w:rsidRPr="00211D94">
        <w:rPr>
          <w:rFonts w:cs="Arial"/>
          <w:szCs w:val="24"/>
        </w:rPr>
        <w:t xml:space="preserve"> </w:t>
      </w:r>
      <w:r w:rsidRPr="00211D94">
        <w:rPr>
          <w:rFonts w:cs="Arial"/>
          <w:szCs w:val="24"/>
        </w:rPr>
        <w:t>warunek jej realizacji i/lub jej skutek. Należy podkreślić, iż w momencie tworzenia Strategii bezrobocie było ograniczeniem rozwojowym, zaś w kolejnych latach sytuacja na rynku pracy znacząco się poprawiała.</w:t>
      </w:r>
      <w:r w:rsidR="00920DEA" w:rsidRPr="00211D94">
        <w:rPr>
          <w:rFonts w:cs="Arial"/>
          <w:szCs w:val="24"/>
        </w:rPr>
        <w:t xml:space="preserve"> </w:t>
      </w:r>
      <w:r w:rsidRPr="00211D94">
        <w:rPr>
          <w:rFonts w:cs="Arial"/>
          <w:szCs w:val="24"/>
        </w:rPr>
        <w:t xml:space="preserve">Tym samym, wkład RPO WP w realizację tego celu Strategii okazał się niższy niż by wynikało z samego jego potencjału, co jednak stanowiło konsekwencję czynników zewnętrznych wobec Programu. Na pozytywną ocenę zasługiwał fakt zmiany ukierunkowania interwencji w odpowiedzi na zastaną sytuację. RPO WP od tworzenia miejsc pracy relatywnie płynnie przeszedł do poprawiania warunków zatrudnienia pracowników. </w:t>
      </w:r>
    </w:p>
    <w:p w14:paraId="7A148280" w14:textId="6237DE20" w:rsidR="002D16DB" w:rsidRPr="00211D94" w:rsidRDefault="002D16DB" w:rsidP="00F55865">
      <w:pPr>
        <w:spacing w:before="120" w:after="120"/>
        <w:rPr>
          <w:rFonts w:cs="Arial"/>
          <w:szCs w:val="24"/>
        </w:rPr>
      </w:pPr>
      <w:r w:rsidRPr="00211D94">
        <w:rPr>
          <w:rFonts w:cs="Arial"/>
          <w:szCs w:val="24"/>
        </w:rPr>
        <w:t xml:space="preserve">Cele dotyczące zmian klimatycznych i energii były wspierane w ramach OP2 oraz OP8 -11. Realizowane projekty wpływały na ograniczanie emisji dwutlenku węgla do atmosfery oraz zmniejszanie presji środowiskowej wywieranej przez transport. Kluczowe projekty dotyczące pozyskiwania energii ze źródeł odnawialnych, a także efektywności wykorzystania energii, to z jednej strony wspieranie OZE, zaś z drugiej - termomodernizacja budynków użyteczności publicznej i obiektów prywatnych. Wkład RPO WP w realizację omawianego celu był znaczący zarówno na poziomie przepływów finansowych, jak i konkretnych, osiąganych wartości wskaźników wprost przekładających się na cele Strategii. </w:t>
      </w:r>
    </w:p>
    <w:p w14:paraId="7FDF5212" w14:textId="33F67E4B" w:rsidR="002D16DB" w:rsidRPr="00211D94" w:rsidRDefault="002D16DB" w:rsidP="00F55865">
      <w:pPr>
        <w:spacing w:before="120" w:after="120"/>
        <w:rPr>
          <w:rFonts w:cs="Arial"/>
          <w:szCs w:val="24"/>
        </w:rPr>
      </w:pPr>
      <w:r w:rsidRPr="00211D94">
        <w:rPr>
          <w:rFonts w:cs="Arial"/>
          <w:szCs w:val="24"/>
        </w:rPr>
        <w:t>Obszar edukacji wspierany był głównie przez projekty realizowane w OP</w:t>
      </w:r>
      <w:r w:rsidR="00920DEA" w:rsidRPr="00211D94">
        <w:rPr>
          <w:rFonts w:cs="Arial"/>
          <w:szCs w:val="24"/>
        </w:rPr>
        <w:t>3</w:t>
      </w:r>
      <w:r w:rsidRPr="00211D94">
        <w:rPr>
          <w:rFonts w:cs="Arial"/>
          <w:szCs w:val="24"/>
        </w:rPr>
        <w:t xml:space="preserve">, OP4 i OP5. Wdrażane przedsięwzięcia przyczyniały się przede wszystkim do realizacji wskaźnika Strategii dot. młodzieży niekontynuującej nauki. Ich wkład w zwiększanie odsetka osób w wieku 30-34 lat posiadających wyższe wykształcenie był po pierwsze – odroczony w czasie w zakresie momentu obserwacji i weryfikacji, a po drugie – wspierany pośrednio, poprzez zapewnienie odpowiednich warunków do nauki. Z uwagi na skalę wsparcia edukacji i jej kompleksowy charakter oraz dążenie do zachowania trwałości efektów, w przypadku tego obszaru </w:t>
      </w:r>
      <w:r w:rsidR="00C5056A" w:rsidRPr="00211D94">
        <w:t>wyraźnie widoczny jest</w:t>
      </w:r>
      <w:r w:rsidR="00C5056A" w:rsidRPr="00211D94">
        <w:rPr>
          <w:rFonts w:cs="Arial"/>
          <w:szCs w:val="24"/>
        </w:rPr>
        <w:t xml:space="preserve"> </w:t>
      </w:r>
      <w:r w:rsidRPr="00211D94">
        <w:rPr>
          <w:rFonts w:cs="Arial"/>
          <w:szCs w:val="24"/>
        </w:rPr>
        <w:t>efek</w:t>
      </w:r>
      <w:r w:rsidR="00C5056A" w:rsidRPr="00211D94">
        <w:rPr>
          <w:rFonts w:cs="Arial"/>
          <w:szCs w:val="24"/>
        </w:rPr>
        <w:t>t</w:t>
      </w:r>
      <w:r w:rsidRPr="00211D94">
        <w:rPr>
          <w:rFonts w:cs="Arial"/>
          <w:szCs w:val="24"/>
        </w:rPr>
        <w:t xml:space="preserve"> skali. Oznacza to, że o ile pojedyncze projekty w ograniczonym stopniu przyczyniły się do realizacji celów Strategii, o tyle wszystkie realizowane na Pomorzu przedsięwzięcia sumarycznie wywarły realny wpływ na sytuację w województwie. </w:t>
      </w:r>
    </w:p>
    <w:p w14:paraId="50DCD660" w14:textId="47FAD9D5" w:rsidR="002D16DB" w:rsidRPr="00211D94" w:rsidRDefault="002D16DB" w:rsidP="00F55865">
      <w:pPr>
        <w:spacing w:before="120" w:after="120"/>
        <w:rPr>
          <w:rFonts w:cs="Arial"/>
          <w:szCs w:val="24"/>
        </w:rPr>
      </w:pPr>
      <w:r w:rsidRPr="00211D94">
        <w:rPr>
          <w:rFonts w:cs="Arial"/>
          <w:szCs w:val="24"/>
        </w:rPr>
        <w:t>Natomiast walka z ubóstwem i wykluczeniem społecznym najwyraźniej podejmowana była w ramach OP5, OP6, OP7 i OP8. Do realizacji celów Strategii przyczyniła się realizacja projektów w obszarze zdrowia, które z racji mechanizmów koordynacji interwencji były silnie powiązane z identyfikowanymi potrzebami oraz możliwościami zapewnienia trwałości. Z racji wpisywania się w szereg dokumentów strategicznych, przedsięwzięcia te przechodziły restrykcyjną selekcję na etapie wyboru i w konsekwencji były narzędziami realizacji celu dotyczącego walki z ubóstwem i wykluczeniem społecznym. Rewitalizacja stanowiła trzon wsparcia w analizowanym obszarze, choć na poziomie efektów nie przekładała się wprost na wskaźnik ze Strategii. Podobnie, pozostała infrastruktura społeczna wspierała realizację celu, choć w sposób pośredni.</w:t>
      </w:r>
    </w:p>
    <w:p w14:paraId="5063F48A" w14:textId="47277E51" w:rsidR="00CD7F22" w:rsidRPr="00211D94" w:rsidRDefault="00A30C7A" w:rsidP="00F55865">
      <w:pPr>
        <w:pStyle w:val="Nagwek1"/>
        <w:spacing w:before="120" w:after="120"/>
        <w:rPr>
          <w:rFonts w:cs="Arial"/>
          <w:color w:val="FFFFFF" w:themeColor="background1"/>
          <w:szCs w:val="24"/>
        </w:rPr>
      </w:pPr>
      <w:bookmarkStart w:id="198" w:name="_Toc214025312"/>
      <w:r w:rsidRPr="00211D94">
        <w:rPr>
          <w:rFonts w:cs="Arial"/>
          <w:color w:val="FFFFFF" w:themeColor="background1"/>
          <w:szCs w:val="24"/>
        </w:rPr>
        <w:t xml:space="preserve">17. </w:t>
      </w:r>
      <w:r w:rsidR="00274503" w:rsidRPr="00211D94">
        <w:rPr>
          <w:rFonts w:cs="Arial"/>
          <w:color w:val="FFFFFF" w:themeColor="background1"/>
          <w:szCs w:val="24"/>
        </w:rPr>
        <w:t xml:space="preserve">Kwestie mające wpływ na wykonanie programu i podjęte działania — ramy wykonania </w:t>
      </w:r>
      <w:r w:rsidRPr="00211D94">
        <w:rPr>
          <w:rFonts w:cs="Arial"/>
          <w:color w:val="FFFFFF" w:themeColor="background1"/>
          <w:szCs w:val="24"/>
        </w:rPr>
        <w:t xml:space="preserve">(art. 50 ust.2 rozporządzenia </w:t>
      </w:r>
      <w:r w:rsidR="00A9175B" w:rsidRPr="00211D94">
        <w:rPr>
          <w:rFonts w:cs="Arial"/>
          <w:color w:val="FFFFFF" w:themeColor="background1"/>
          <w:szCs w:val="24"/>
        </w:rPr>
        <w:t>ogólnego</w:t>
      </w:r>
      <w:r w:rsidRPr="00211D94">
        <w:rPr>
          <w:rFonts w:cs="Arial"/>
          <w:color w:val="FFFFFF" w:themeColor="background1"/>
          <w:szCs w:val="24"/>
        </w:rPr>
        <w:t>)</w:t>
      </w:r>
      <w:bookmarkEnd w:id="198"/>
      <w:r w:rsidRPr="00211D94">
        <w:rPr>
          <w:rStyle w:val="bold"/>
          <w:rFonts w:cs="Arial"/>
          <w:b/>
          <w:color w:val="FFFFFF" w:themeColor="background1"/>
          <w:szCs w:val="24"/>
        </w:rPr>
        <w:t xml:space="preserve"> </w:t>
      </w:r>
    </w:p>
    <w:p w14:paraId="25A93A5C" w14:textId="77777777" w:rsidR="00C90E4C" w:rsidRPr="00211D94" w:rsidRDefault="005A540E" w:rsidP="00F55865">
      <w:pPr>
        <w:spacing w:before="120" w:after="120"/>
        <w:rPr>
          <w:rFonts w:cs="Arial"/>
          <w:iCs/>
          <w:szCs w:val="24"/>
        </w:rPr>
      </w:pPr>
      <w:r w:rsidRPr="00211D94">
        <w:rPr>
          <w:rFonts w:cs="Arial"/>
          <w:szCs w:val="24"/>
          <w:lang w:eastAsia="pl-PL"/>
        </w:rPr>
        <w:t>Nie dotyczy RPO WP</w:t>
      </w:r>
      <w:r w:rsidR="00CD7F22" w:rsidRPr="00211D94">
        <w:rPr>
          <w:rFonts w:cs="Arial"/>
          <w:szCs w:val="24"/>
          <w:lang w:eastAsia="pl-PL"/>
        </w:rPr>
        <w:t>.</w:t>
      </w:r>
      <w:r w:rsidR="00CD7F22" w:rsidRPr="00211D94" w:rsidDel="00E47919">
        <w:rPr>
          <w:rFonts w:cs="Arial"/>
          <w:szCs w:val="24"/>
          <w:lang w:eastAsia="pl-PL"/>
        </w:rPr>
        <w:t xml:space="preserve"> </w:t>
      </w:r>
    </w:p>
    <w:p w14:paraId="6830A84C" w14:textId="77777777" w:rsidR="00A30C7A" w:rsidRPr="00211D94" w:rsidRDefault="00A30C7A" w:rsidP="00F55865">
      <w:pPr>
        <w:pStyle w:val="Nagwek1"/>
        <w:spacing w:before="120" w:after="120"/>
        <w:rPr>
          <w:rStyle w:val="bold"/>
          <w:rFonts w:eastAsia="Calibri" w:cs="Arial"/>
          <w:b/>
          <w:bCs w:val="0"/>
          <w:color w:val="FFFFFF" w:themeColor="background1"/>
          <w:kern w:val="0"/>
          <w:sz w:val="24"/>
          <w:szCs w:val="24"/>
        </w:rPr>
      </w:pPr>
      <w:bookmarkStart w:id="199" w:name="_Toc214025313"/>
      <w:r w:rsidRPr="00211D94">
        <w:rPr>
          <w:rFonts w:cs="Arial"/>
          <w:color w:val="FFFFFF" w:themeColor="background1"/>
          <w:szCs w:val="24"/>
        </w:rPr>
        <w:t xml:space="preserve">18. </w:t>
      </w:r>
      <w:r w:rsidR="00274503" w:rsidRPr="00211D94">
        <w:rPr>
          <w:rFonts w:cs="Arial"/>
          <w:color w:val="FFFFFF" w:themeColor="background1"/>
          <w:szCs w:val="24"/>
        </w:rPr>
        <w:t xml:space="preserve">Inicjatywa na rzecz zatrudnienia ludzi młodych </w:t>
      </w:r>
      <w:r w:rsidRPr="00211D94">
        <w:rPr>
          <w:rFonts w:cs="Arial"/>
          <w:color w:val="FFFFFF" w:themeColor="background1"/>
          <w:szCs w:val="24"/>
        </w:rPr>
        <w:t>art. 19 us</w:t>
      </w:r>
      <w:r w:rsidR="00C90E4C" w:rsidRPr="00211D94">
        <w:rPr>
          <w:rFonts w:cs="Arial"/>
          <w:color w:val="FFFFFF" w:themeColor="background1"/>
          <w:szCs w:val="24"/>
        </w:rPr>
        <w:t>t. 4 i 6 rozporządzenia (UE) nr </w:t>
      </w:r>
      <w:r w:rsidRPr="00211D94">
        <w:rPr>
          <w:rFonts w:cs="Arial"/>
          <w:color w:val="FFFFFF" w:themeColor="background1"/>
          <w:szCs w:val="24"/>
        </w:rPr>
        <w:t>1304/2013 (w stosownych przypadkach)</w:t>
      </w:r>
      <w:bookmarkEnd w:id="199"/>
      <w:r w:rsidRPr="00211D94">
        <w:rPr>
          <w:rStyle w:val="bold"/>
          <w:rFonts w:cs="Arial"/>
          <w:b/>
          <w:color w:val="FFFFFF" w:themeColor="background1"/>
          <w:szCs w:val="24"/>
        </w:rPr>
        <w:t xml:space="preserve"> </w:t>
      </w:r>
    </w:p>
    <w:p w14:paraId="2DB55363" w14:textId="77777777" w:rsidR="003D490C" w:rsidRPr="00211D94" w:rsidRDefault="003D490C" w:rsidP="00F55865">
      <w:pPr>
        <w:spacing w:before="120" w:after="120"/>
        <w:rPr>
          <w:rStyle w:val="bold"/>
          <w:rFonts w:eastAsia="Times New Roman" w:cs="Arial"/>
          <w:bCs/>
          <w:kern w:val="32"/>
          <w:sz w:val="32"/>
          <w:szCs w:val="24"/>
        </w:rPr>
      </w:pPr>
      <w:r w:rsidRPr="00211D94">
        <w:rPr>
          <w:rStyle w:val="bold"/>
          <w:rFonts w:eastAsia="Times New Roman" w:cs="Arial"/>
          <w:kern w:val="32"/>
          <w:szCs w:val="24"/>
        </w:rPr>
        <w:t>Nie dotyczy RPO WP.</w:t>
      </w:r>
    </w:p>
    <w:p w14:paraId="204CC666" w14:textId="77777777" w:rsidR="006D5F10" w:rsidRPr="00211D94" w:rsidRDefault="00274503" w:rsidP="00F55865">
      <w:pPr>
        <w:pStyle w:val="Nagwek1"/>
        <w:spacing w:before="120" w:after="120"/>
        <w:rPr>
          <w:rFonts w:cs="Arial"/>
          <w:color w:val="FFFFFF" w:themeColor="background1"/>
          <w:szCs w:val="24"/>
        </w:rPr>
      </w:pPr>
      <w:bookmarkStart w:id="200" w:name="_Toc511382717"/>
      <w:bookmarkStart w:id="201" w:name="_Toc214025314"/>
      <w:r w:rsidRPr="00211D94">
        <w:rPr>
          <w:rStyle w:val="bold"/>
          <w:rFonts w:cs="Arial"/>
          <w:color w:val="FFFFFF" w:themeColor="background1"/>
          <w:szCs w:val="24"/>
        </w:rPr>
        <w:t>Spis załączników</w:t>
      </w:r>
      <w:bookmarkEnd w:id="200"/>
      <w:bookmarkEnd w:id="201"/>
    </w:p>
    <w:p w14:paraId="703D04D7" w14:textId="77777777" w:rsidR="002D16DB" w:rsidRPr="00211D94" w:rsidRDefault="002D16DB" w:rsidP="00F55865">
      <w:pPr>
        <w:spacing w:before="120" w:after="120"/>
        <w:rPr>
          <w:rFonts w:cs="Arial"/>
          <w:szCs w:val="24"/>
        </w:rPr>
      </w:pPr>
      <w:r w:rsidRPr="00211D94">
        <w:rPr>
          <w:rFonts w:cs="Arial"/>
          <w:szCs w:val="24"/>
        </w:rPr>
        <w:t>Tabela 1. Wskaźniki rezultatu dla EFRR i Funduszu Spójności (według osi priorytetowej i celu szczegółowego); ma zastosowanie także do osi priorytetowej „Pomoc techniczna”.</w:t>
      </w:r>
    </w:p>
    <w:p w14:paraId="6FEF917B" w14:textId="77777777" w:rsidR="002D16DB" w:rsidRPr="00211D94" w:rsidRDefault="002D16DB" w:rsidP="00F55865">
      <w:pPr>
        <w:spacing w:before="120" w:after="120"/>
        <w:rPr>
          <w:rFonts w:cs="Arial"/>
          <w:szCs w:val="24"/>
        </w:rPr>
      </w:pPr>
      <w:r w:rsidRPr="00211D94">
        <w:rPr>
          <w:rFonts w:cs="Arial"/>
          <w:szCs w:val="24"/>
        </w:rPr>
        <w:t>Tabela 2A. Wspólne wskaźniki rezultatu dla EFS (ze względu na oś priorytetową, priorytet inwestycyjny i kategorię regionu). Dane na temat wszystkich wspólnych wskaźników rezultatu dla EFS (z i bez wartości docelowej) przedstawia się w sprawozdaniu zgodnie z podziałem na płeć. W przypadku osi priorytetowej „Pomoc techniczna” w sprawozdaniu przedstawia się jedynie te wskaźniki wspólne, w odniesieniu do których ustanowiono wartość docelową.</w:t>
      </w:r>
    </w:p>
    <w:p w14:paraId="54AD12BE" w14:textId="77777777" w:rsidR="002D16DB" w:rsidRPr="00211D94" w:rsidRDefault="002D16DB" w:rsidP="00F55865">
      <w:pPr>
        <w:spacing w:before="120" w:after="120"/>
        <w:rPr>
          <w:rFonts w:cs="Arial"/>
          <w:szCs w:val="24"/>
        </w:rPr>
      </w:pPr>
      <w:r w:rsidRPr="00211D94">
        <w:rPr>
          <w:rFonts w:cs="Arial"/>
          <w:szCs w:val="24"/>
        </w:rPr>
        <w:t xml:space="preserve">Tabela 2B. Wskaźniki rezultatu dla Inicjatywy na rzecz zatrudnienia ludzi młodych według osi priorytetowej lub części osi priorytetowej (art. 19 ust. 3, załącznik I </w:t>
      </w:r>
      <w:proofErr w:type="spellStart"/>
      <w:r w:rsidRPr="00211D94">
        <w:rPr>
          <w:rFonts w:cs="Arial"/>
          <w:szCs w:val="24"/>
        </w:rPr>
        <w:t>i</w:t>
      </w:r>
      <w:proofErr w:type="spellEnd"/>
      <w:r w:rsidRPr="00211D94">
        <w:rPr>
          <w:rFonts w:cs="Arial"/>
          <w:szCs w:val="24"/>
        </w:rPr>
        <w:t xml:space="preserve"> II do rozporządzenia w sprawie EFS) – nie dotyczy RPO WP 2014-2020.</w:t>
      </w:r>
    </w:p>
    <w:p w14:paraId="0EB4F4FE" w14:textId="77777777" w:rsidR="002D16DB" w:rsidRPr="00211D94" w:rsidRDefault="002D16DB" w:rsidP="00F55865">
      <w:pPr>
        <w:spacing w:before="120" w:after="120"/>
        <w:rPr>
          <w:rFonts w:cs="Arial"/>
          <w:szCs w:val="24"/>
        </w:rPr>
      </w:pPr>
      <w:r w:rsidRPr="00211D94">
        <w:rPr>
          <w:rFonts w:cs="Arial"/>
          <w:szCs w:val="24"/>
        </w:rPr>
        <w:t>Tabela 2C. Wskaźniki rezultatu specyficzne dla programu w odniesieniu do EFS (w stosownych przypadkach według osi priorytetowej, priorytetu inwestycyjnego i kategorii regionu); ma zastosowanie także do osi priorytetowej „Pomoc techniczna”.</w:t>
      </w:r>
    </w:p>
    <w:p w14:paraId="4F277250" w14:textId="77777777" w:rsidR="002D16DB" w:rsidRPr="00211D94" w:rsidRDefault="002D16DB" w:rsidP="00F55865">
      <w:pPr>
        <w:spacing w:before="120" w:after="120"/>
        <w:rPr>
          <w:rFonts w:cs="Arial"/>
          <w:szCs w:val="24"/>
        </w:rPr>
      </w:pPr>
      <w:r w:rsidRPr="00211D94">
        <w:rPr>
          <w:rFonts w:cs="Arial"/>
          <w:szCs w:val="24"/>
        </w:rPr>
        <w:t>Tabela 3A. Wspólne i specyficzne dla programu wskaźniki produktu dla EFRR i Funduszu Spójności (według osi priorytetowej, priorytetu inwestycyjnego, z podziałem na kategorie regionu dla EFRR; ma zastosowanie także do osi priorytetowych „Pomoc techniczna”).</w:t>
      </w:r>
    </w:p>
    <w:p w14:paraId="37595030" w14:textId="77777777" w:rsidR="002D16DB" w:rsidRPr="00211D94" w:rsidRDefault="002D16DB" w:rsidP="00F55865">
      <w:pPr>
        <w:spacing w:before="120" w:after="120"/>
        <w:rPr>
          <w:rFonts w:cs="Arial"/>
          <w:szCs w:val="24"/>
        </w:rPr>
      </w:pPr>
      <w:r w:rsidRPr="00211D94">
        <w:rPr>
          <w:rFonts w:cs="Arial"/>
          <w:szCs w:val="24"/>
        </w:rPr>
        <w:t>Tabela 3B. W odniesieniu do wybranych wspólnych wskaźników produktu dla wsparcia z EFRR w ramach celu „Inwestycje na rzecz wzrostu gospodarczego i zatrudnienia” związanego z inwestycjami produkcyjnymi — liczba przedsiębiorstw otrzymujących wsparcie w ramach programu operacyjnego — przy czym każde przedsiębiorstwo liczone jest tylko raz, niezależnie od liczby projektów w ramach danego przedsiębiorstwa.</w:t>
      </w:r>
    </w:p>
    <w:p w14:paraId="78661534" w14:textId="77777777" w:rsidR="002D16DB" w:rsidRPr="00211D94" w:rsidRDefault="002D16DB" w:rsidP="00F55865">
      <w:pPr>
        <w:spacing w:before="120" w:after="120"/>
        <w:rPr>
          <w:rFonts w:cs="Arial"/>
          <w:szCs w:val="24"/>
        </w:rPr>
      </w:pPr>
      <w:r w:rsidRPr="00211D94">
        <w:rPr>
          <w:rFonts w:cs="Arial"/>
          <w:szCs w:val="24"/>
        </w:rPr>
        <w:t>Tabela 4A. Wspólne wskaźniki produktu dla EFS (według osi priorytetowej, priorytetu inwestycyjnego i kategorii regionu). W odniesieniu do Inicjatywy na rzecz zatrudnienia ludzi młodych, każdej osi priorytetowej lub dowolnej części tej osi nie jest wymagany podział według kategorii regionu.</w:t>
      </w:r>
    </w:p>
    <w:p w14:paraId="7F486EF0" w14:textId="77777777" w:rsidR="002D16DB" w:rsidRPr="00211D94" w:rsidRDefault="002D16DB" w:rsidP="00F55865">
      <w:pPr>
        <w:spacing w:before="120" w:after="120"/>
        <w:rPr>
          <w:rFonts w:cs="Arial"/>
          <w:szCs w:val="24"/>
        </w:rPr>
      </w:pPr>
      <w:r w:rsidRPr="00211D94">
        <w:rPr>
          <w:rFonts w:cs="Arial"/>
          <w:szCs w:val="24"/>
        </w:rPr>
        <w:t>Tabela 4B. Specyficzne dla programu wskaźniki produktu dla EFS (według osi priorytetowej, priorytetu inwestycyjnego i kategorii regionu; ma zastosowanie także do osi priorytetowych „Pomoc techniczna”) W odniesieniu do Inicjatywy na rzecz zatrudnienia ludzi młodych, każdej osi priorytetowej lub dowolnej części tej osi nie jest wymagany podział według kategorii regionu.</w:t>
      </w:r>
    </w:p>
    <w:p w14:paraId="18D4E18E" w14:textId="77777777" w:rsidR="002D16DB" w:rsidRPr="00211D94" w:rsidRDefault="002D16DB" w:rsidP="00F55865">
      <w:pPr>
        <w:spacing w:before="120" w:after="120"/>
        <w:rPr>
          <w:rFonts w:cs="Arial"/>
          <w:szCs w:val="24"/>
        </w:rPr>
      </w:pPr>
      <w:r w:rsidRPr="00211D94">
        <w:rPr>
          <w:rFonts w:cs="Arial"/>
          <w:szCs w:val="24"/>
        </w:rPr>
        <w:t>Tabela 5. Informacje na temat celów pośrednich i końcowych określonych w ramach wykonania.</w:t>
      </w:r>
    </w:p>
    <w:p w14:paraId="39DDBB82" w14:textId="77777777" w:rsidR="002D16DB" w:rsidRPr="00211D94" w:rsidRDefault="002D16DB" w:rsidP="00F55865">
      <w:pPr>
        <w:spacing w:before="120" w:after="120"/>
        <w:rPr>
          <w:rFonts w:cs="Arial"/>
          <w:szCs w:val="24"/>
        </w:rPr>
      </w:pPr>
      <w:r w:rsidRPr="00211D94">
        <w:rPr>
          <w:rFonts w:cs="Arial"/>
          <w:szCs w:val="24"/>
        </w:rPr>
        <w:t>Tabela 6. Informacje finansowe na poziomie osi priorytetowej i programu.</w:t>
      </w:r>
    </w:p>
    <w:p w14:paraId="0A6F498A" w14:textId="5D5990B3" w:rsidR="002D16DB" w:rsidRPr="00211D94" w:rsidRDefault="002D16DB" w:rsidP="00F55865">
      <w:pPr>
        <w:spacing w:before="120" w:after="120"/>
        <w:rPr>
          <w:rFonts w:cs="Arial"/>
          <w:szCs w:val="24"/>
        </w:rPr>
      </w:pPr>
      <w:r w:rsidRPr="00211D94">
        <w:rPr>
          <w:rFonts w:cs="Arial"/>
          <w:szCs w:val="24"/>
        </w:rPr>
        <w:t xml:space="preserve">Tabela 7. Kumulatywny podział danych finansowych według kombinacji kategorii interwencji dla EFRR, EFS i Funduszu Spójności (art. 112 ust. 1 i 2 rozporządzenia </w:t>
      </w:r>
      <w:r w:rsidR="00726583" w:rsidRPr="00211D94">
        <w:rPr>
          <w:rFonts w:cs="Arial"/>
          <w:szCs w:val="24"/>
        </w:rPr>
        <w:t>ogólnego</w:t>
      </w:r>
      <w:r w:rsidRPr="00211D94">
        <w:rPr>
          <w:rFonts w:cs="Arial"/>
          <w:szCs w:val="24"/>
        </w:rPr>
        <w:t xml:space="preserve"> i art. 5 rozporządzenia (UE) nr 1304/2013).</w:t>
      </w:r>
    </w:p>
    <w:p w14:paraId="6A64E868" w14:textId="77777777" w:rsidR="002D16DB" w:rsidRPr="00211D94" w:rsidRDefault="002D16DB" w:rsidP="00F55865">
      <w:pPr>
        <w:spacing w:before="120" w:after="120"/>
        <w:rPr>
          <w:rFonts w:cs="Arial"/>
          <w:szCs w:val="24"/>
        </w:rPr>
      </w:pPr>
      <w:r w:rsidRPr="00211D94">
        <w:rPr>
          <w:rFonts w:cs="Arial"/>
          <w:szCs w:val="24"/>
        </w:rPr>
        <w:t>Tabela 8. Wykorzystanie finansowania krzyżowego.</w:t>
      </w:r>
    </w:p>
    <w:p w14:paraId="3C34BD3E" w14:textId="77777777" w:rsidR="002D16DB" w:rsidRPr="00211D94" w:rsidRDefault="002D16DB" w:rsidP="00F55865">
      <w:pPr>
        <w:spacing w:before="120" w:after="120"/>
        <w:rPr>
          <w:rFonts w:cs="Arial"/>
          <w:szCs w:val="24"/>
        </w:rPr>
      </w:pPr>
      <w:r w:rsidRPr="00211D94">
        <w:rPr>
          <w:rFonts w:cs="Arial"/>
          <w:szCs w:val="24"/>
        </w:rPr>
        <w:t>Tabela 9. Koszt operacji realizowanych poza obszarem objętym programem (EFRR i Fundusz Spójności w ramach celu „Inwestycje na rzecz wzrostu gospodarczego i zatrudnienia”).</w:t>
      </w:r>
    </w:p>
    <w:p w14:paraId="4E4CB6BC" w14:textId="77777777" w:rsidR="002D16DB" w:rsidRPr="00211D94" w:rsidRDefault="002D16DB" w:rsidP="00F55865">
      <w:pPr>
        <w:spacing w:before="120" w:after="120"/>
        <w:rPr>
          <w:rFonts w:cs="Arial"/>
          <w:szCs w:val="24"/>
        </w:rPr>
      </w:pPr>
      <w:r w:rsidRPr="00211D94">
        <w:rPr>
          <w:rFonts w:cs="Arial"/>
          <w:szCs w:val="24"/>
        </w:rPr>
        <w:t>Tabela 10. Wydatki poniesione poza obszarem objętym programem (EFS).</w:t>
      </w:r>
    </w:p>
    <w:p w14:paraId="700B2183" w14:textId="0920EB3A" w:rsidR="002D16DB" w:rsidRPr="00211D94" w:rsidRDefault="002D16DB" w:rsidP="00F55865">
      <w:pPr>
        <w:spacing w:before="120" w:after="120"/>
        <w:rPr>
          <w:rFonts w:cs="Arial"/>
          <w:szCs w:val="24"/>
        </w:rPr>
      </w:pPr>
      <w:r w:rsidRPr="00211D94">
        <w:rPr>
          <w:rFonts w:cs="Arial"/>
          <w:szCs w:val="24"/>
        </w:rPr>
        <w:t>Tabela 11. Alokacja zasobów między ludzi młodych spoza kwalifikujących się regionów na poziomie NUTS 2 w ramach Inicjatywy na rzecz zatrudnienia ludzi młodych (art. 16 rozporządzenia (UE) nr 1304/2013).</w:t>
      </w:r>
    </w:p>
    <w:p w14:paraId="761188E9" w14:textId="4EECB310" w:rsidR="002D16DB" w:rsidRPr="00211D94" w:rsidRDefault="002D16DB" w:rsidP="00F55865">
      <w:pPr>
        <w:spacing w:before="120" w:after="120"/>
        <w:rPr>
          <w:rFonts w:cs="Arial"/>
          <w:szCs w:val="24"/>
        </w:rPr>
      </w:pPr>
      <w:r w:rsidRPr="00211D94">
        <w:rPr>
          <w:rFonts w:cs="Arial"/>
          <w:szCs w:val="24"/>
        </w:rPr>
        <w:t>Tabela 12. Duże projekty.</w:t>
      </w:r>
    </w:p>
    <w:p w14:paraId="19BE4942" w14:textId="699E3FFB" w:rsidR="002D16DB" w:rsidRPr="00211D94" w:rsidRDefault="002D16DB" w:rsidP="00F55865">
      <w:pPr>
        <w:spacing w:before="120" w:after="120"/>
        <w:rPr>
          <w:rFonts w:cs="Arial"/>
          <w:szCs w:val="24"/>
        </w:rPr>
      </w:pPr>
      <w:r w:rsidRPr="00211D94">
        <w:rPr>
          <w:rFonts w:cs="Arial"/>
          <w:szCs w:val="24"/>
        </w:rPr>
        <w:t>Tabela 13. Wspólne plany działania.</w:t>
      </w:r>
    </w:p>
    <w:p w14:paraId="340D3122" w14:textId="77777777" w:rsidR="002D16DB" w:rsidRPr="00211D94" w:rsidRDefault="002D16DB" w:rsidP="00F55865">
      <w:pPr>
        <w:spacing w:before="120" w:after="120"/>
        <w:rPr>
          <w:rFonts w:cs="Arial"/>
          <w:szCs w:val="24"/>
        </w:rPr>
      </w:pPr>
      <w:r w:rsidRPr="00211D94">
        <w:rPr>
          <w:rFonts w:cs="Arial"/>
          <w:szCs w:val="24"/>
        </w:rPr>
        <w:t>Tabela 14. Działania podjęte w celu spełnienia mających zastosowanie ogólnych warunków wstępnych.</w:t>
      </w:r>
    </w:p>
    <w:p w14:paraId="2FE1DA15" w14:textId="77777777" w:rsidR="00D57A27" w:rsidRPr="00211D94" w:rsidRDefault="002D16DB" w:rsidP="00F55865">
      <w:pPr>
        <w:spacing w:before="120" w:after="120"/>
        <w:rPr>
          <w:rFonts w:cs="Arial"/>
          <w:szCs w:val="24"/>
        </w:rPr>
      </w:pPr>
      <w:r w:rsidRPr="00211D94">
        <w:rPr>
          <w:rFonts w:cs="Arial"/>
          <w:szCs w:val="24"/>
        </w:rPr>
        <w:t>Tabela 15. Działania mające na celu spełnienie mających zastosowanie tematycznych warunków wstępnych.</w:t>
      </w:r>
    </w:p>
    <w:p w14:paraId="4C475551" w14:textId="77777777" w:rsidR="00D57A27" w:rsidRPr="00211D94" w:rsidRDefault="00D57A27" w:rsidP="00F55865">
      <w:pPr>
        <w:spacing w:before="120" w:after="120"/>
        <w:rPr>
          <w:rFonts w:cs="Arial"/>
          <w:szCs w:val="24"/>
        </w:rPr>
      </w:pPr>
      <w:r w:rsidRPr="00211D94">
        <w:rPr>
          <w:rFonts w:cs="Arial"/>
          <w:szCs w:val="24"/>
        </w:rPr>
        <w:t>ZAŁĄCZNIK I – Wykaz wszystkich operacji rozłożonych na etapy między okresem 2014–2020 a 2021–2027.</w:t>
      </w:r>
    </w:p>
    <w:p w14:paraId="23E42980" w14:textId="77777777" w:rsidR="00D57A27" w:rsidRPr="00211D94" w:rsidRDefault="00D57A27" w:rsidP="00F55865">
      <w:pPr>
        <w:spacing w:before="120" w:after="120"/>
        <w:rPr>
          <w:rFonts w:cs="Arial"/>
          <w:szCs w:val="24"/>
        </w:rPr>
      </w:pPr>
      <w:r w:rsidRPr="00211D94">
        <w:rPr>
          <w:rFonts w:cs="Arial"/>
          <w:szCs w:val="24"/>
        </w:rPr>
        <w:t>ZAŁĄCZNIK II – Wykaz operacji niefunkcjonujących.</w:t>
      </w:r>
    </w:p>
    <w:p w14:paraId="779432D0" w14:textId="218FC779" w:rsidR="00D57A27" w:rsidRPr="00211D94" w:rsidRDefault="00D57A27" w:rsidP="00F55865">
      <w:pPr>
        <w:spacing w:before="120" w:after="120"/>
        <w:rPr>
          <w:rFonts w:cs="Arial"/>
          <w:szCs w:val="24"/>
        </w:rPr>
      </w:pPr>
      <w:r w:rsidRPr="00211D94">
        <w:rPr>
          <w:rFonts w:cs="Arial"/>
          <w:szCs w:val="24"/>
        </w:rPr>
        <w:t>ZAŁĄCZNIK III – Wykaz operacji, w sprawie których trwa postępowanie krajowe/operacji zawieszonych w wyniku postępowania sądowego lub odwołania administracyjnego o skutku zawieszającym.</w:t>
      </w:r>
    </w:p>
    <w:p w14:paraId="4497B1C6" w14:textId="405F3235" w:rsidR="002D16DB" w:rsidRPr="00211D94" w:rsidRDefault="002D16DB" w:rsidP="00F55865">
      <w:pPr>
        <w:pStyle w:val="Default"/>
        <w:spacing w:before="120" w:after="120" w:line="276" w:lineRule="auto"/>
        <w:rPr>
          <w:color w:val="auto"/>
        </w:rPr>
      </w:pPr>
      <w:r w:rsidRPr="00211D94">
        <w:rPr>
          <w:bCs/>
          <w:color w:val="auto"/>
        </w:rPr>
        <w:t xml:space="preserve">Załącznik </w:t>
      </w:r>
      <w:r w:rsidR="00D57A27" w:rsidRPr="00211D94">
        <w:rPr>
          <w:bCs/>
          <w:color w:val="auto"/>
        </w:rPr>
        <w:t>A</w:t>
      </w:r>
      <w:r w:rsidRPr="00211D94">
        <w:rPr>
          <w:bCs/>
          <w:color w:val="auto"/>
        </w:rPr>
        <w:t>.</w:t>
      </w:r>
      <w:r w:rsidRPr="00211D94">
        <w:rPr>
          <w:b/>
          <w:bCs/>
          <w:color w:val="auto"/>
        </w:rPr>
        <w:t xml:space="preserve"> </w:t>
      </w:r>
      <w:r w:rsidRPr="00211D94">
        <w:rPr>
          <w:color w:val="auto"/>
        </w:rPr>
        <w:t>Sprawozdanie z wdrażania instrumentów finansowych (OP1).</w:t>
      </w:r>
    </w:p>
    <w:p w14:paraId="0A8BE1E8" w14:textId="2A42B60E" w:rsidR="002D16DB" w:rsidRPr="00211D94" w:rsidRDefault="002D16DB" w:rsidP="00F55865">
      <w:pPr>
        <w:pStyle w:val="Default"/>
        <w:spacing w:before="120" w:after="120" w:line="276" w:lineRule="auto"/>
        <w:rPr>
          <w:color w:val="auto"/>
        </w:rPr>
      </w:pPr>
      <w:r w:rsidRPr="00211D94">
        <w:rPr>
          <w:bCs/>
          <w:color w:val="auto"/>
        </w:rPr>
        <w:t xml:space="preserve">Załącznik </w:t>
      </w:r>
      <w:r w:rsidR="00D57A27" w:rsidRPr="00211D94">
        <w:rPr>
          <w:bCs/>
          <w:color w:val="auto"/>
        </w:rPr>
        <w:t>B</w:t>
      </w:r>
      <w:r w:rsidRPr="00211D94">
        <w:rPr>
          <w:bCs/>
          <w:color w:val="auto"/>
        </w:rPr>
        <w:t>.</w:t>
      </w:r>
      <w:r w:rsidRPr="00211D94">
        <w:rPr>
          <w:b/>
          <w:bCs/>
          <w:color w:val="auto"/>
        </w:rPr>
        <w:t xml:space="preserve"> </w:t>
      </w:r>
      <w:r w:rsidRPr="00211D94">
        <w:rPr>
          <w:color w:val="auto"/>
        </w:rPr>
        <w:t>Sprawozdanie z wdrażania instrumentów finansowych (OP2).</w:t>
      </w:r>
    </w:p>
    <w:p w14:paraId="3366471E" w14:textId="5C0D7686" w:rsidR="002D16DB" w:rsidRPr="00211D94" w:rsidRDefault="002D16DB" w:rsidP="00F55865">
      <w:pPr>
        <w:pStyle w:val="Default"/>
        <w:spacing w:before="120" w:after="120" w:line="276" w:lineRule="auto"/>
        <w:rPr>
          <w:color w:val="auto"/>
        </w:rPr>
      </w:pPr>
      <w:r w:rsidRPr="00211D94">
        <w:rPr>
          <w:bCs/>
          <w:color w:val="auto"/>
        </w:rPr>
        <w:t xml:space="preserve">Załącznik </w:t>
      </w:r>
      <w:r w:rsidR="00D57A27" w:rsidRPr="00211D94">
        <w:rPr>
          <w:bCs/>
          <w:color w:val="auto"/>
        </w:rPr>
        <w:t>C</w:t>
      </w:r>
      <w:r w:rsidRPr="00211D94">
        <w:rPr>
          <w:bCs/>
          <w:color w:val="auto"/>
        </w:rPr>
        <w:t>.</w:t>
      </w:r>
      <w:r w:rsidRPr="00211D94">
        <w:rPr>
          <w:b/>
          <w:bCs/>
          <w:color w:val="auto"/>
        </w:rPr>
        <w:t xml:space="preserve"> </w:t>
      </w:r>
      <w:r w:rsidRPr="00211D94">
        <w:rPr>
          <w:color w:val="auto"/>
        </w:rPr>
        <w:t>Sprawozdanie z wdrażania instrumentów finansowych (OP8).</w:t>
      </w:r>
    </w:p>
    <w:p w14:paraId="75C30876" w14:textId="563C57D3" w:rsidR="002D16DB" w:rsidRPr="00211D94" w:rsidRDefault="002D16DB" w:rsidP="00F55865">
      <w:pPr>
        <w:pStyle w:val="Default"/>
        <w:spacing w:before="120" w:after="120" w:line="276" w:lineRule="auto"/>
        <w:rPr>
          <w:color w:val="auto"/>
        </w:rPr>
      </w:pPr>
      <w:r w:rsidRPr="00211D94">
        <w:rPr>
          <w:bCs/>
          <w:color w:val="auto"/>
        </w:rPr>
        <w:t xml:space="preserve">Załącznik </w:t>
      </w:r>
      <w:r w:rsidR="00D57A27" w:rsidRPr="00211D94">
        <w:rPr>
          <w:bCs/>
          <w:color w:val="auto"/>
        </w:rPr>
        <w:t>D</w:t>
      </w:r>
      <w:r w:rsidRPr="00211D94">
        <w:rPr>
          <w:bCs/>
          <w:color w:val="auto"/>
        </w:rPr>
        <w:t>.</w:t>
      </w:r>
      <w:r w:rsidRPr="00211D94">
        <w:rPr>
          <w:b/>
          <w:bCs/>
          <w:color w:val="auto"/>
        </w:rPr>
        <w:t xml:space="preserve"> </w:t>
      </w:r>
      <w:r w:rsidRPr="00211D94">
        <w:rPr>
          <w:color w:val="auto"/>
        </w:rPr>
        <w:t>Sprawozdanie z wdrażania instrumentów finansowych (OP10).</w:t>
      </w:r>
    </w:p>
    <w:p w14:paraId="64021690" w14:textId="037A2462" w:rsidR="00BC3EE5" w:rsidRPr="00211D94" w:rsidRDefault="00BC3EE5" w:rsidP="00F55865">
      <w:pPr>
        <w:pStyle w:val="Default"/>
        <w:spacing w:before="120" w:after="120" w:line="276" w:lineRule="auto"/>
        <w:rPr>
          <w:color w:val="auto"/>
        </w:rPr>
      </w:pPr>
      <w:r w:rsidRPr="00211D94">
        <w:rPr>
          <w:bCs/>
          <w:color w:val="auto"/>
        </w:rPr>
        <w:t>Załącznik E.</w:t>
      </w:r>
      <w:r w:rsidRPr="00211D94">
        <w:rPr>
          <w:b/>
          <w:bCs/>
          <w:color w:val="auto"/>
        </w:rPr>
        <w:t xml:space="preserve"> </w:t>
      </w:r>
      <w:r w:rsidRPr="00211D94">
        <w:rPr>
          <w:color w:val="auto"/>
        </w:rPr>
        <w:t>Sprawozdanie z wdrażania instrumentów finansowych (OP13).</w:t>
      </w:r>
    </w:p>
    <w:p w14:paraId="56288A68" w14:textId="5EA615E2" w:rsidR="002D16DB" w:rsidRPr="00211D94" w:rsidRDefault="002D16DB" w:rsidP="00F55865">
      <w:pPr>
        <w:spacing w:before="120" w:after="120"/>
        <w:rPr>
          <w:rFonts w:cs="Arial"/>
          <w:szCs w:val="24"/>
        </w:rPr>
      </w:pPr>
      <w:r w:rsidRPr="00211D94">
        <w:rPr>
          <w:rFonts w:cs="Arial"/>
          <w:bCs/>
          <w:szCs w:val="24"/>
        </w:rPr>
        <w:t xml:space="preserve">Załącznik </w:t>
      </w:r>
      <w:r w:rsidR="00BC3EE5" w:rsidRPr="00211D94">
        <w:rPr>
          <w:rFonts w:cs="Arial"/>
          <w:bCs/>
          <w:szCs w:val="24"/>
        </w:rPr>
        <w:t>F</w:t>
      </w:r>
      <w:r w:rsidRPr="00211D94">
        <w:rPr>
          <w:rFonts w:cs="Arial"/>
          <w:bCs/>
          <w:szCs w:val="24"/>
        </w:rPr>
        <w:t>.</w:t>
      </w:r>
      <w:r w:rsidRPr="00211D94">
        <w:rPr>
          <w:rFonts w:cs="Arial"/>
          <w:b/>
          <w:bCs/>
          <w:szCs w:val="24"/>
        </w:rPr>
        <w:t xml:space="preserve"> </w:t>
      </w:r>
      <w:r w:rsidRPr="00211D94">
        <w:rPr>
          <w:rFonts w:cs="Arial"/>
          <w:szCs w:val="24"/>
        </w:rPr>
        <w:t xml:space="preserve">Streszczenie podawane do wiadomości publicznej (art.50 ust. 9 rozporządzenia </w:t>
      </w:r>
      <w:r w:rsidR="006E61C6" w:rsidRPr="00211D94">
        <w:rPr>
          <w:rFonts w:cs="Arial"/>
          <w:szCs w:val="24"/>
        </w:rPr>
        <w:t>ogólnego</w:t>
      </w:r>
      <w:r w:rsidRPr="00211D94">
        <w:rPr>
          <w:rFonts w:cs="Arial"/>
          <w:szCs w:val="24"/>
        </w:rPr>
        <w:t>).</w:t>
      </w:r>
    </w:p>
    <w:p w14:paraId="44F82FED" w14:textId="074EAC84" w:rsidR="00C90E4C" w:rsidRPr="00211D94" w:rsidRDefault="00C90E4C" w:rsidP="00F55865">
      <w:pPr>
        <w:spacing w:before="120" w:after="120"/>
        <w:rPr>
          <w:rFonts w:cs="Arial"/>
          <w:color w:val="C45911" w:themeColor="accent2" w:themeShade="BF"/>
          <w:szCs w:val="24"/>
        </w:rPr>
      </w:pPr>
    </w:p>
    <w:sectPr w:rsidR="00C90E4C" w:rsidRPr="00211D94" w:rsidSect="00F10721">
      <w:headerReference w:type="default" r:id="rId25"/>
      <w:footerReference w:type="default" r:id="rId26"/>
      <w:headerReference w:type="first" r:id="rId27"/>
      <w:footerReference w:type="first" r:id="rId2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E6BA0" w14:textId="77777777" w:rsidR="008A043C" w:rsidRDefault="008A043C" w:rsidP="00D60DFE">
      <w:pPr>
        <w:spacing w:after="0" w:line="240" w:lineRule="auto"/>
      </w:pPr>
      <w:r>
        <w:separator/>
      </w:r>
    </w:p>
  </w:endnote>
  <w:endnote w:type="continuationSeparator" w:id="0">
    <w:p w14:paraId="34DFBFA9" w14:textId="77777777" w:rsidR="008A043C" w:rsidRDefault="008A043C" w:rsidP="00D6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IDFont+F2">
    <w:altName w:val="MS Gothic"/>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C2A9" w14:textId="77777777" w:rsidR="008A043C" w:rsidRPr="009D1D12" w:rsidRDefault="008A043C">
    <w:pPr>
      <w:pStyle w:val="Stopka"/>
      <w:jc w:val="center"/>
      <w:rPr>
        <w:color w:val="1F3864" w:themeColor="accent1" w:themeShade="80"/>
      </w:rPr>
    </w:pPr>
    <w:r w:rsidRPr="009D1D12">
      <w:t xml:space="preserve">Strona </w:t>
    </w:r>
    <w:r w:rsidRPr="009D1D12">
      <w:fldChar w:fldCharType="begin"/>
    </w:r>
    <w:r w:rsidRPr="009D1D12">
      <w:instrText>PAGE  \* Arabic  \* MERGEFORMAT</w:instrText>
    </w:r>
    <w:r w:rsidRPr="009D1D12">
      <w:fldChar w:fldCharType="separate"/>
    </w:r>
    <w:r w:rsidRPr="009D1D12">
      <w:t>2</w:t>
    </w:r>
    <w:r w:rsidRPr="009D1D12">
      <w:fldChar w:fldCharType="end"/>
    </w:r>
    <w:r w:rsidRPr="009D1D12">
      <w:t xml:space="preserve"> z </w:t>
    </w:r>
    <w:r w:rsidRPr="009D1D12">
      <w:fldChar w:fldCharType="begin"/>
    </w:r>
    <w:r w:rsidRPr="009D1D12">
      <w:instrText>NUMPAGES \ * arabskie \ * MERGEFORMAT</w:instrText>
    </w:r>
    <w:r w:rsidRPr="009D1D12">
      <w:fldChar w:fldCharType="separate"/>
    </w:r>
    <w:r w:rsidRPr="009D1D12">
      <w:t>2</w:t>
    </w:r>
    <w:r w:rsidRPr="009D1D12">
      <w:fldChar w:fldCharType="end"/>
    </w:r>
  </w:p>
  <w:p w14:paraId="1BC6A7C3" w14:textId="77777777" w:rsidR="008A043C" w:rsidRPr="000A24E8" w:rsidRDefault="008A043C">
    <w:pPr>
      <w:pStyle w:val="Stopka"/>
      <w:rPr>
        <w:color w:val="00B0F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DE45" w14:textId="77777777" w:rsidR="008A043C" w:rsidRPr="000A24E8" w:rsidRDefault="008A043C">
    <w:pPr>
      <w:pStyle w:val="Stopka"/>
      <w:jc w:val="right"/>
      <w:rPr>
        <w:color w:val="00B0F0"/>
      </w:rPr>
    </w:pPr>
    <w:r w:rsidRPr="000A24E8">
      <w:rPr>
        <w:noProof/>
        <w:color w:val="00B0F0"/>
      </w:rPr>
      <w:drawing>
        <wp:inline distT="0" distB="0" distL="0" distR="0" wp14:anchorId="08F5AC94" wp14:editId="53EA6C60">
          <wp:extent cx="5762625" cy="159385"/>
          <wp:effectExtent l="0" t="0" r="0" b="0"/>
          <wp:docPr id="1" name="Obraz 4"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59385"/>
                  </a:xfrm>
                  <a:prstGeom prst="rect">
                    <a:avLst/>
                  </a:prstGeom>
                  <a:noFill/>
                  <a:ln>
                    <a:noFill/>
                  </a:ln>
                </pic:spPr>
              </pic:pic>
            </a:graphicData>
          </a:graphic>
        </wp:inline>
      </w:drawing>
    </w:r>
  </w:p>
  <w:p w14:paraId="58A8ABE5" w14:textId="77777777" w:rsidR="008A043C" w:rsidRPr="000A24E8" w:rsidRDefault="008A043C">
    <w:pPr>
      <w:pStyle w:val="Stopka"/>
      <w:rPr>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35E2" w14:textId="77777777" w:rsidR="008A043C" w:rsidRDefault="008A043C" w:rsidP="00D60DFE">
      <w:pPr>
        <w:spacing w:after="0" w:line="240" w:lineRule="auto"/>
      </w:pPr>
      <w:r>
        <w:separator/>
      </w:r>
    </w:p>
  </w:footnote>
  <w:footnote w:type="continuationSeparator" w:id="0">
    <w:p w14:paraId="5362D46A" w14:textId="77777777" w:rsidR="008A043C" w:rsidRDefault="008A043C" w:rsidP="00D6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3CD3" w14:textId="4ED672B7" w:rsidR="008A043C" w:rsidRPr="0002431D" w:rsidRDefault="008A043C" w:rsidP="00A2776C">
    <w:pPr>
      <w:pStyle w:val="Nagwek"/>
      <w:jc w:val="center"/>
      <w:rPr>
        <w:rFonts w:cs="Arial"/>
        <w:sz w:val="18"/>
        <w:szCs w:val="18"/>
      </w:rPr>
    </w:pPr>
    <w:r w:rsidRPr="0002431D">
      <w:rPr>
        <w:rFonts w:cs="Arial"/>
        <w:noProof/>
        <w:sz w:val="18"/>
        <w:szCs w:val="18"/>
      </w:rPr>
      <mc:AlternateContent>
        <mc:Choice Requires="wps">
          <w:drawing>
            <wp:anchor distT="0" distB="0" distL="114300" distR="114300" simplePos="0" relativeHeight="251657216" behindDoc="0" locked="0" layoutInCell="1" allowOverlap="1" wp14:anchorId="157AD9BF" wp14:editId="1795C6D2">
              <wp:simplePos x="0" y="0"/>
              <wp:positionH relativeFrom="column">
                <wp:posOffset>114300</wp:posOffset>
              </wp:positionH>
              <wp:positionV relativeFrom="paragraph">
                <wp:posOffset>176530</wp:posOffset>
              </wp:positionV>
              <wp:extent cx="5486400" cy="0"/>
              <wp:effectExtent l="9525" t="5080" r="9525" b="1397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3FB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9pt" to="4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" strokecolor="#002060"/>
          </w:pict>
        </mc:Fallback>
      </mc:AlternateContent>
    </w:r>
    <w:r w:rsidRPr="0002431D">
      <w:rPr>
        <w:rFonts w:cs="Arial"/>
        <w:sz w:val="18"/>
        <w:szCs w:val="18"/>
      </w:rPr>
      <w:t xml:space="preserve">Sprawozdanie </w:t>
    </w:r>
    <w:r>
      <w:rPr>
        <w:rFonts w:cs="Arial"/>
        <w:sz w:val="18"/>
        <w:szCs w:val="18"/>
      </w:rPr>
      <w:t>końcowe</w:t>
    </w:r>
    <w:r w:rsidRPr="0002431D">
      <w:rPr>
        <w:rFonts w:cs="Arial"/>
        <w:sz w:val="18"/>
        <w:szCs w:val="18"/>
      </w:rPr>
      <w:t xml:space="preserve"> z wdrażania RPO WP 2014-2020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0C38" w14:textId="77777777" w:rsidR="008A043C" w:rsidRPr="000A24E8" w:rsidRDefault="008A043C">
    <w:pPr>
      <w:pStyle w:val="Nagwek"/>
      <w:rPr>
        <w:color w:val="00B0F0"/>
      </w:rPr>
    </w:pPr>
    <w:r>
      <w:rPr>
        <w:noProof/>
        <w:lang w:eastAsia="pl-PL"/>
      </w:rPr>
      <w:drawing>
        <wp:anchor distT="0" distB="0" distL="114300" distR="114300" simplePos="0" relativeHeight="251658240" behindDoc="0" locked="0" layoutInCell="1" allowOverlap="1" wp14:anchorId="13E3457E" wp14:editId="4E6B2090">
          <wp:simplePos x="0" y="0"/>
          <wp:positionH relativeFrom="column">
            <wp:posOffset>-702945</wp:posOffset>
          </wp:positionH>
          <wp:positionV relativeFrom="paragraph">
            <wp:posOffset>-241300</wp:posOffset>
          </wp:positionV>
          <wp:extent cx="7169785" cy="676910"/>
          <wp:effectExtent l="0" t="0" r="0" b="0"/>
          <wp:wrapSquare wrapText="bothSides"/>
          <wp:docPr id="3"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785"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E9C9C9"/>
    <w:multiLevelType w:val="hybridMultilevel"/>
    <w:tmpl w:val="F6F235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E81C40"/>
    <w:multiLevelType w:val="hybridMultilevel"/>
    <w:tmpl w:val="21236F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F8A19"/>
    <w:multiLevelType w:val="hybridMultilevel"/>
    <w:tmpl w:val="54860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B40FF"/>
    <w:multiLevelType w:val="hybridMultilevel"/>
    <w:tmpl w:val="DF1A85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0809B5"/>
    <w:multiLevelType w:val="hybridMultilevel"/>
    <w:tmpl w:val="FA3A25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1F1A9C72">
      <w:numFmt w:val="bullet"/>
      <w:lvlText w:val="•"/>
      <w:lvlJc w:val="left"/>
      <w:pPr>
        <w:ind w:left="2870" w:hanging="710"/>
      </w:pPr>
      <w:rPr>
        <w:rFonts w:ascii="Arial" w:eastAsia="Calibri" w:hAnsi="Arial" w:cs="Aria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2117D7B"/>
    <w:multiLevelType w:val="hybridMultilevel"/>
    <w:tmpl w:val="4D5C1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DB2D89"/>
    <w:multiLevelType w:val="hybridMultilevel"/>
    <w:tmpl w:val="22A0AD38"/>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2C6242"/>
    <w:multiLevelType w:val="hybridMultilevel"/>
    <w:tmpl w:val="A55673A2"/>
    <w:lvl w:ilvl="0" w:tplc="6A826A4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5C0497"/>
    <w:multiLevelType w:val="multilevel"/>
    <w:tmpl w:val="6D8A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03AB5"/>
    <w:multiLevelType w:val="hybridMultilevel"/>
    <w:tmpl w:val="EDBA866C"/>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D0565E"/>
    <w:multiLevelType w:val="hybridMultilevel"/>
    <w:tmpl w:val="2E74A3CA"/>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D73B11"/>
    <w:multiLevelType w:val="multilevel"/>
    <w:tmpl w:val="964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E46DA4"/>
    <w:multiLevelType w:val="hybridMultilevel"/>
    <w:tmpl w:val="160C2C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8350353"/>
    <w:multiLevelType w:val="hybridMultilevel"/>
    <w:tmpl w:val="913A0BAC"/>
    <w:lvl w:ilvl="0" w:tplc="76948A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8AC5604"/>
    <w:multiLevelType w:val="hybridMultilevel"/>
    <w:tmpl w:val="42D69DAC"/>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6A3A11"/>
    <w:multiLevelType w:val="hybridMultilevel"/>
    <w:tmpl w:val="A942BA96"/>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A8A6AA"/>
    <w:multiLevelType w:val="hybridMultilevel"/>
    <w:tmpl w:val="92AB59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561519"/>
    <w:multiLevelType w:val="hybridMultilevel"/>
    <w:tmpl w:val="AA74D92C"/>
    <w:lvl w:ilvl="0" w:tplc="530ECE7C">
      <w:start w:val="1"/>
      <w:numFmt w:val="bullet"/>
      <w:lvlText w:val="‒"/>
      <w:lvlJc w:val="left"/>
      <w:pPr>
        <w:ind w:left="501" w:hanging="360"/>
      </w:pPr>
      <w:rPr>
        <w:rFonts w:ascii="Calibri" w:hAnsi="Calibri"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8" w15:restartNumberingAfterBreak="0">
    <w:nsid w:val="0F6426A4"/>
    <w:multiLevelType w:val="hybridMultilevel"/>
    <w:tmpl w:val="170EECA6"/>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6C2D00"/>
    <w:multiLevelType w:val="hybridMultilevel"/>
    <w:tmpl w:val="2866445E"/>
    <w:lvl w:ilvl="0" w:tplc="36F234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16874FB"/>
    <w:multiLevelType w:val="hybridMultilevel"/>
    <w:tmpl w:val="008C4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091D7F"/>
    <w:multiLevelType w:val="hybridMultilevel"/>
    <w:tmpl w:val="A7723CBE"/>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CB18DB"/>
    <w:multiLevelType w:val="hybridMultilevel"/>
    <w:tmpl w:val="58427582"/>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C44CF8"/>
    <w:multiLevelType w:val="multilevel"/>
    <w:tmpl w:val="0EC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A862BA"/>
    <w:multiLevelType w:val="hybridMultilevel"/>
    <w:tmpl w:val="B0C898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C54DA4"/>
    <w:multiLevelType w:val="hybridMultilevel"/>
    <w:tmpl w:val="98324022"/>
    <w:lvl w:ilvl="0" w:tplc="36F23466">
      <w:start w:val="1"/>
      <w:numFmt w:val="bullet"/>
      <w:lvlText w:val="—"/>
      <w:lvlJc w:val="left"/>
      <w:pPr>
        <w:ind w:left="720" w:hanging="360"/>
      </w:pPr>
      <w:rPr>
        <w:rFonts w:ascii="Calibri" w:hAnsi="Calibri" w:hint="default"/>
      </w:rPr>
    </w:lvl>
    <w:lvl w:ilvl="1" w:tplc="36F23466">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F733FC"/>
    <w:multiLevelType w:val="hybridMultilevel"/>
    <w:tmpl w:val="FF10A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F0C5673"/>
    <w:multiLevelType w:val="multilevel"/>
    <w:tmpl w:val="9470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A7761B"/>
    <w:multiLevelType w:val="hybridMultilevel"/>
    <w:tmpl w:val="89F05A3C"/>
    <w:lvl w:ilvl="0" w:tplc="B18020AC">
      <w:start w:val="2007"/>
      <w:numFmt w:val="bullet"/>
      <w:lvlText w:val=""/>
      <w:lvlJc w:val="left"/>
      <w:pPr>
        <w:ind w:left="426" w:hanging="360"/>
      </w:pPr>
      <w:rPr>
        <w:rFonts w:ascii="Symbol" w:eastAsia="Calibri" w:hAnsi="Symbol" w:cs="Calibri"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29" w15:restartNumberingAfterBreak="0">
    <w:nsid w:val="1FB63ABD"/>
    <w:multiLevelType w:val="hybridMultilevel"/>
    <w:tmpl w:val="4A109B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0EB07E7"/>
    <w:multiLevelType w:val="hybridMultilevel"/>
    <w:tmpl w:val="98A67D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3676BD6"/>
    <w:multiLevelType w:val="hybridMultilevel"/>
    <w:tmpl w:val="97D0AD9C"/>
    <w:lvl w:ilvl="0" w:tplc="36F234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89477B"/>
    <w:multiLevelType w:val="hybridMultilevel"/>
    <w:tmpl w:val="0C3E09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5D818A8"/>
    <w:multiLevelType w:val="hybridMultilevel"/>
    <w:tmpl w:val="55DA0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8230A26"/>
    <w:multiLevelType w:val="hybridMultilevel"/>
    <w:tmpl w:val="80F485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8865E8D"/>
    <w:multiLevelType w:val="hybridMultilevel"/>
    <w:tmpl w:val="22102176"/>
    <w:lvl w:ilvl="0" w:tplc="310AD6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93E7129"/>
    <w:multiLevelType w:val="multilevel"/>
    <w:tmpl w:val="EB1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DE1BEE"/>
    <w:multiLevelType w:val="hybridMultilevel"/>
    <w:tmpl w:val="246CAF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C113CA0"/>
    <w:multiLevelType w:val="multilevel"/>
    <w:tmpl w:val="032A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3C07B6"/>
    <w:multiLevelType w:val="hybridMultilevel"/>
    <w:tmpl w:val="055269A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370C0E07"/>
    <w:multiLevelType w:val="hybridMultilevel"/>
    <w:tmpl w:val="A732D4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8EC7DA5"/>
    <w:multiLevelType w:val="hybridMultilevel"/>
    <w:tmpl w:val="D1067BF0"/>
    <w:lvl w:ilvl="0" w:tplc="36F234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91D4202"/>
    <w:multiLevelType w:val="hybridMultilevel"/>
    <w:tmpl w:val="C0C49FB4"/>
    <w:lvl w:ilvl="0" w:tplc="1A126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B0C6952"/>
    <w:multiLevelType w:val="multilevel"/>
    <w:tmpl w:val="6E8A3C16"/>
    <w:lvl w:ilvl="0">
      <w:start w:val="1"/>
      <w:numFmt w:val="bullet"/>
      <w:lvlText w:val=""/>
      <w:lvlJc w:val="left"/>
      <w:pPr>
        <w:ind w:left="360" w:hanging="360"/>
      </w:pPr>
      <w:rPr>
        <w:rFonts w:ascii="Symbol" w:hAnsi="Symbol"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E160610"/>
    <w:multiLevelType w:val="hybridMultilevel"/>
    <w:tmpl w:val="2FBF8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E993EB1"/>
    <w:multiLevelType w:val="multilevel"/>
    <w:tmpl w:val="949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9A2741"/>
    <w:multiLevelType w:val="hybridMultilevel"/>
    <w:tmpl w:val="5182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2BE32E6"/>
    <w:multiLevelType w:val="multilevel"/>
    <w:tmpl w:val="AC5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806D1"/>
    <w:multiLevelType w:val="hybridMultilevel"/>
    <w:tmpl w:val="7E4475E4"/>
    <w:lvl w:ilvl="0" w:tplc="530ECE7C">
      <w:start w:val="1"/>
      <w:numFmt w:val="bullet"/>
      <w:lvlText w:val="‒"/>
      <w:lvlJc w:val="left"/>
      <w:pPr>
        <w:ind w:left="709" w:hanging="360"/>
      </w:pPr>
      <w:rPr>
        <w:rFonts w:ascii="Calibri" w:hAnsi="Calibri" w:hint="default"/>
      </w:rPr>
    </w:lvl>
    <w:lvl w:ilvl="1" w:tplc="04150003">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49" w15:restartNumberingAfterBreak="0">
    <w:nsid w:val="44634988"/>
    <w:multiLevelType w:val="hybridMultilevel"/>
    <w:tmpl w:val="79D44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721548"/>
    <w:multiLevelType w:val="hybridMultilevel"/>
    <w:tmpl w:val="E42064B0"/>
    <w:lvl w:ilvl="0" w:tplc="310A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5A05083"/>
    <w:multiLevelType w:val="multilevel"/>
    <w:tmpl w:val="E72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05040F"/>
    <w:multiLevelType w:val="hybridMultilevel"/>
    <w:tmpl w:val="C8A4B4BA"/>
    <w:lvl w:ilvl="0" w:tplc="36F23466">
      <w:start w:val="1"/>
      <w:numFmt w:val="bullet"/>
      <w:lvlText w:val="—"/>
      <w:lvlJc w:val="left"/>
      <w:pPr>
        <w:ind w:left="765" w:hanging="360"/>
      </w:pPr>
      <w:rPr>
        <w:rFonts w:ascii="Calibri" w:hAnsi="Calibr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3" w15:restartNumberingAfterBreak="0">
    <w:nsid w:val="47B41A00"/>
    <w:multiLevelType w:val="multilevel"/>
    <w:tmpl w:val="442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F83145"/>
    <w:multiLevelType w:val="hybridMultilevel"/>
    <w:tmpl w:val="E1EEE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D1591D"/>
    <w:multiLevelType w:val="multilevel"/>
    <w:tmpl w:val="6E8A3C16"/>
    <w:lvl w:ilvl="0">
      <w:start w:val="1"/>
      <w:numFmt w:val="bullet"/>
      <w:lvlText w:val=""/>
      <w:lvlJc w:val="left"/>
      <w:pPr>
        <w:ind w:left="360" w:hanging="360"/>
      </w:pPr>
      <w:rPr>
        <w:rFonts w:ascii="Symbol" w:hAnsi="Symbol"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CC32217"/>
    <w:multiLevelType w:val="hybridMultilevel"/>
    <w:tmpl w:val="65003AF8"/>
    <w:lvl w:ilvl="0" w:tplc="36F23466">
      <w:start w:val="1"/>
      <w:numFmt w:val="bullet"/>
      <w:lvlText w:val="—"/>
      <w:lvlJc w:val="left"/>
      <w:pPr>
        <w:ind w:left="765" w:hanging="360"/>
      </w:pPr>
      <w:rPr>
        <w:rFonts w:ascii="Calibri" w:hAnsi="Calibr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7" w15:restartNumberingAfterBreak="0">
    <w:nsid w:val="4CD13CDC"/>
    <w:multiLevelType w:val="hybridMultilevel"/>
    <w:tmpl w:val="25FA7286"/>
    <w:lvl w:ilvl="0" w:tplc="310A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E8F00E7"/>
    <w:multiLevelType w:val="multilevel"/>
    <w:tmpl w:val="B3205FC6"/>
    <w:lvl w:ilvl="0">
      <w:start w:val="1"/>
      <w:numFmt w:val="bullet"/>
      <w:lvlText w:val=""/>
      <w:lvlJc w:val="left"/>
      <w:pPr>
        <w:ind w:left="360" w:hanging="360"/>
      </w:pPr>
      <w:rPr>
        <w:rFonts w:ascii="Symbol" w:hAnsi="Symbol" w:hint="default"/>
      </w:rPr>
    </w:lvl>
    <w:lvl w:ilvl="1">
      <w:start w:val="1"/>
      <w:numFmt w:val="decimal"/>
      <w:lvlText w:val="%13.%2."/>
      <w:lvlJc w:val="left"/>
      <w:pPr>
        <w:ind w:left="792" w:hanging="432"/>
      </w:pPr>
      <w:rPr>
        <w:rFonts w:hint="default"/>
      </w:rPr>
    </w:lvl>
    <w:lvl w:ilvl="2">
      <w:start w:val="1"/>
      <w:numFmt w:val="decimal"/>
      <w:lvlText w:val="%13.%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9569FD"/>
    <w:multiLevelType w:val="hybridMultilevel"/>
    <w:tmpl w:val="BA164E74"/>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F9E13C0"/>
    <w:multiLevelType w:val="hybridMultilevel"/>
    <w:tmpl w:val="C9C65B0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FAB2A21"/>
    <w:multiLevelType w:val="hybridMultilevel"/>
    <w:tmpl w:val="F83A9186"/>
    <w:lvl w:ilvl="0" w:tplc="310AD6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FB522D6"/>
    <w:multiLevelType w:val="hybridMultilevel"/>
    <w:tmpl w:val="32C288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0A33A65"/>
    <w:multiLevelType w:val="hybridMultilevel"/>
    <w:tmpl w:val="CCE4E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7F1B47"/>
    <w:multiLevelType w:val="hybridMultilevel"/>
    <w:tmpl w:val="32CC0B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3DD1E1B"/>
    <w:multiLevelType w:val="hybridMultilevel"/>
    <w:tmpl w:val="523C1A92"/>
    <w:lvl w:ilvl="0" w:tplc="C72A40B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837B14"/>
    <w:multiLevelType w:val="hybridMultilevel"/>
    <w:tmpl w:val="EFB8F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9B12164"/>
    <w:multiLevelType w:val="hybridMultilevel"/>
    <w:tmpl w:val="06E4B3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9BD6D57"/>
    <w:multiLevelType w:val="hybridMultilevel"/>
    <w:tmpl w:val="FA1EF806"/>
    <w:lvl w:ilvl="0" w:tplc="310A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B1757E5"/>
    <w:multiLevelType w:val="hybridMultilevel"/>
    <w:tmpl w:val="8814029E"/>
    <w:lvl w:ilvl="0" w:tplc="310AD6A8">
      <w:start w:val="1"/>
      <w:numFmt w:val="bullet"/>
      <w:lvlText w:val=""/>
      <w:lvlJc w:val="left"/>
      <w:pPr>
        <w:ind w:left="141" w:hanging="360"/>
      </w:pPr>
      <w:rPr>
        <w:rFonts w:ascii="Symbol" w:hAnsi="Symbol" w:hint="default"/>
      </w:rPr>
    </w:lvl>
    <w:lvl w:ilvl="1" w:tplc="04150003">
      <w:start w:val="1"/>
      <w:numFmt w:val="bullet"/>
      <w:lvlText w:val="o"/>
      <w:lvlJc w:val="left"/>
      <w:pPr>
        <w:ind w:left="861" w:hanging="360"/>
      </w:pPr>
      <w:rPr>
        <w:rFonts w:ascii="Courier New" w:hAnsi="Courier New" w:cs="Courier New" w:hint="default"/>
      </w:rPr>
    </w:lvl>
    <w:lvl w:ilvl="2" w:tplc="04150005" w:tentative="1">
      <w:start w:val="1"/>
      <w:numFmt w:val="bullet"/>
      <w:lvlText w:val=""/>
      <w:lvlJc w:val="left"/>
      <w:pPr>
        <w:ind w:left="1581" w:hanging="360"/>
      </w:pPr>
      <w:rPr>
        <w:rFonts w:ascii="Wingdings" w:hAnsi="Wingdings" w:hint="default"/>
      </w:rPr>
    </w:lvl>
    <w:lvl w:ilvl="3" w:tplc="04150001" w:tentative="1">
      <w:start w:val="1"/>
      <w:numFmt w:val="bullet"/>
      <w:lvlText w:val=""/>
      <w:lvlJc w:val="left"/>
      <w:pPr>
        <w:ind w:left="2301" w:hanging="360"/>
      </w:pPr>
      <w:rPr>
        <w:rFonts w:ascii="Symbol" w:hAnsi="Symbol" w:hint="default"/>
      </w:rPr>
    </w:lvl>
    <w:lvl w:ilvl="4" w:tplc="04150003" w:tentative="1">
      <w:start w:val="1"/>
      <w:numFmt w:val="bullet"/>
      <w:lvlText w:val="o"/>
      <w:lvlJc w:val="left"/>
      <w:pPr>
        <w:ind w:left="3021" w:hanging="360"/>
      </w:pPr>
      <w:rPr>
        <w:rFonts w:ascii="Courier New" w:hAnsi="Courier New" w:cs="Courier New" w:hint="default"/>
      </w:rPr>
    </w:lvl>
    <w:lvl w:ilvl="5" w:tplc="04150005" w:tentative="1">
      <w:start w:val="1"/>
      <w:numFmt w:val="bullet"/>
      <w:lvlText w:val=""/>
      <w:lvlJc w:val="left"/>
      <w:pPr>
        <w:ind w:left="3741" w:hanging="360"/>
      </w:pPr>
      <w:rPr>
        <w:rFonts w:ascii="Wingdings" w:hAnsi="Wingdings" w:hint="default"/>
      </w:rPr>
    </w:lvl>
    <w:lvl w:ilvl="6" w:tplc="04150001" w:tentative="1">
      <w:start w:val="1"/>
      <w:numFmt w:val="bullet"/>
      <w:lvlText w:val=""/>
      <w:lvlJc w:val="left"/>
      <w:pPr>
        <w:ind w:left="4461" w:hanging="360"/>
      </w:pPr>
      <w:rPr>
        <w:rFonts w:ascii="Symbol" w:hAnsi="Symbol" w:hint="default"/>
      </w:rPr>
    </w:lvl>
    <w:lvl w:ilvl="7" w:tplc="04150003" w:tentative="1">
      <w:start w:val="1"/>
      <w:numFmt w:val="bullet"/>
      <w:lvlText w:val="o"/>
      <w:lvlJc w:val="left"/>
      <w:pPr>
        <w:ind w:left="5181" w:hanging="360"/>
      </w:pPr>
      <w:rPr>
        <w:rFonts w:ascii="Courier New" w:hAnsi="Courier New" w:cs="Courier New" w:hint="default"/>
      </w:rPr>
    </w:lvl>
    <w:lvl w:ilvl="8" w:tplc="04150005" w:tentative="1">
      <w:start w:val="1"/>
      <w:numFmt w:val="bullet"/>
      <w:lvlText w:val=""/>
      <w:lvlJc w:val="left"/>
      <w:pPr>
        <w:ind w:left="5901" w:hanging="360"/>
      </w:pPr>
      <w:rPr>
        <w:rFonts w:ascii="Wingdings" w:hAnsi="Wingdings" w:hint="default"/>
      </w:rPr>
    </w:lvl>
  </w:abstractNum>
  <w:abstractNum w:abstractNumId="70" w15:restartNumberingAfterBreak="0">
    <w:nsid w:val="5B22023F"/>
    <w:multiLevelType w:val="hybridMultilevel"/>
    <w:tmpl w:val="9614EA46"/>
    <w:lvl w:ilvl="0" w:tplc="04150001">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71" w15:restartNumberingAfterBreak="0">
    <w:nsid w:val="5C487239"/>
    <w:multiLevelType w:val="hybridMultilevel"/>
    <w:tmpl w:val="AA54C8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659" w:hanging="360"/>
      </w:pPr>
      <w:rPr>
        <w:rFonts w:ascii="Courier New" w:hAnsi="Courier New" w:cs="Courier New" w:hint="default"/>
      </w:rPr>
    </w:lvl>
    <w:lvl w:ilvl="2" w:tplc="04150005" w:tentative="1">
      <w:start w:val="1"/>
      <w:numFmt w:val="bullet"/>
      <w:lvlText w:val=""/>
      <w:lvlJc w:val="left"/>
      <w:pPr>
        <w:ind w:left="2379" w:hanging="360"/>
      </w:pPr>
      <w:rPr>
        <w:rFonts w:ascii="Wingdings" w:hAnsi="Wingdings" w:hint="default"/>
      </w:rPr>
    </w:lvl>
    <w:lvl w:ilvl="3" w:tplc="04150001" w:tentative="1">
      <w:start w:val="1"/>
      <w:numFmt w:val="bullet"/>
      <w:lvlText w:val=""/>
      <w:lvlJc w:val="left"/>
      <w:pPr>
        <w:ind w:left="3099" w:hanging="360"/>
      </w:pPr>
      <w:rPr>
        <w:rFonts w:ascii="Symbol" w:hAnsi="Symbol" w:hint="default"/>
      </w:rPr>
    </w:lvl>
    <w:lvl w:ilvl="4" w:tplc="04150003" w:tentative="1">
      <w:start w:val="1"/>
      <w:numFmt w:val="bullet"/>
      <w:lvlText w:val="o"/>
      <w:lvlJc w:val="left"/>
      <w:pPr>
        <w:ind w:left="3819" w:hanging="360"/>
      </w:pPr>
      <w:rPr>
        <w:rFonts w:ascii="Courier New" w:hAnsi="Courier New" w:cs="Courier New" w:hint="default"/>
      </w:rPr>
    </w:lvl>
    <w:lvl w:ilvl="5" w:tplc="04150005" w:tentative="1">
      <w:start w:val="1"/>
      <w:numFmt w:val="bullet"/>
      <w:lvlText w:val=""/>
      <w:lvlJc w:val="left"/>
      <w:pPr>
        <w:ind w:left="4539" w:hanging="360"/>
      </w:pPr>
      <w:rPr>
        <w:rFonts w:ascii="Wingdings" w:hAnsi="Wingdings" w:hint="default"/>
      </w:rPr>
    </w:lvl>
    <w:lvl w:ilvl="6" w:tplc="04150001" w:tentative="1">
      <w:start w:val="1"/>
      <w:numFmt w:val="bullet"/>
      <w:lvlText w:val=""/>
      <w:lvlJc w:val="left"/>
      <w:pPr>
        <w:ind w:left="5259" w:hanging="360"/>
      </w:pPr>
      <w:rPr>
        <w:rFonts w:ascii="Symbol" w:hAnsi="Symbol" w:hint="default"/>
      </w:rPr>
    </w:lvl>
    <w:lvl w:ilvl="7" w:tplc="04150003" w:tentative="1">
      <w:start w:val="1"/>
      <w:numFmt w:val="bullet"/>
      <w:lvlText w:val="o"/>
      <w:lvlJc w:val="left"/>
      <w:pPr>
        <w:ind w:left="5979" w:hanging="360"/>
      </w:pPr>
      <w:rPr>
        <w:rFonts w:ascii="Courier New" w:hAnsi="Courier New" w:cs="Courier New" w:hint="default"/>
      </w:rPr>
    </w:lvl>
    <w:lvl w:ilvl="8" w:tplc="04150005" w:tentative="1">
      <w:start w:val="1"/>
      <w:numFmt w:val="bullet"/>
      <w:lvlText w:val=""/>
      <w:lvlJc w:val="left"/>
      <w:pPr>
        <w:ind w:left="6699" w:hanging="360"/>
      </w:pPr>
      <w:rPr>
        <w:rFonts w:ascii="Wingdings" w:hAnsi="Wingdings" w:hint="default"/>
      </w:rPr>
    </w:lvl>
  </w:abstractNum>
  <w:abstractNum w:abstractNumId="72" w15:restartNumberingAfterBreak="0">
    <w:nsid w:val="5EEC4EC3"/>
    <w:multiLevelType w:val="hybridMultilevel"/>
    <w:tmpl w:val="C9123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F34294E"/>
    <w:multiLevelType w:val="hybridMultilevel"/>
    <w:tmpl w:val="8C703374"/>
    <w:lvl w:ilvl="0" w:tplc="36F234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4D9261D"/>
    <w:multiLevelType w:val="hybridMultilevel"/>
    <w:tmpl w:val="E35CFCCA"/>
    <w:lvl w:ilvl="0" w:tplc="310A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4FE3304"/>
    <w:multiLevelType w:val="hybridMultilevel"/>
    <w:tmpl w:val="C3FC46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5BD5DE1"/>
    <w:multiLevelType w:val="hybridMultilevel"/>
    <w:tmpl w:val="79ECB308"/>
    <w:lvl w:ilvl="0" w:tplc="36F23466">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4E3D3B"/>
    <w:multiLevelType w:val="hybridMultilevel"/>
    <w:tmpl w:val="835AAC32"/>
    <w:lvl w:ilvl="0" w:tplc="36F23466">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15:restartNumberingAfterBreak="0">
    <w:nsid w:val="6B4578D2"/>
    <w:multiLevelType w:val="hybridMultilevel"/>
    <w:tmpl w:val="D13C7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D90799D"/>
    <w:multiLevelType w:val="hybridMultilevel"/>
    <w:tmpl w:val="7F0A479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E7E3424"/>
    <w:multiLevelType w:val="hybridMultilevel"/>
    <w:tmpl w:val="EC7AA2A4"/>
    <w:lvl w:ilvl="0" w:tplc="F1C00E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D21C3B"/>
    <w:multiLevelType w:val="multilevel"/>
    <w:tmpl w:val="941A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D26DB8"/>
    <w:multiLevelType w:val="hybridMultilevel"/>
    <w:tmpl w:val="1672806C"/>
    <w:lvl w:ilvl="0" w:tplc="310A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2D52FA8"/>
    <w:multiLevelType w:val="hybridMultilevel"/>
    <w:tmpl w:val="E5E89A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74053EC3"/>
    <w:multiLevelType w:val="multilevel"/>
    <w:tmpl w:val="24E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1B0057"/>
    <w:multiLevelType w:val="hybridMultilevel"/>
    <w:tmpl w:val="5DDC47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4F82F29"/>
    <w:multiLevelType w:val="hybridMultilevel"/>
    <w:tmpl w:val="F760D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396B51"/>
    <w:multiLevelType w:val="hybridMultilevel"/>
    <w:tmpl w:val="A7E8EF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92262D0"/>
    <w:multiLevelType w:val="hybridMultilevel"/>
    <w:tmpl w:val="3454E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D45184B"/>
    <w:multiLevelType w:val="multilevel"/>
    <w:tmpl w:val="593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24"/>
  </w:num>
  <w:num w:numId="4">
    <w:abstractNumId w:val="61"/>
  </w:num>
  <w:num w:numId="5">
    <w:abstractNumId w:val="43"/>
  </w:num>
  <w:num w:numId="6">
    <w:abstractNumId w:val="55"/>
  </w:num>
  <w:num w:numId="7">
    <w:abstractNumId w:val="56"/>
  </w:num>
  <w:num w:numId="8">
    <w:abstractNumId w:val="80"/>
  </w:num>
  <w:num w:numId="9">
    <w:abstractNumId w:val="10"/>
  </w:num>
  <w:num w:numId="10">
    <w:abstractNumId w:val="69"/>
  </w:num>
  <w:num w:numId="11">
    <w:abstractNumId w:val="82"/>
  </w:num>
  <w:num w:numId="12">
    <w:abstractNumId w:val="74"/>
  </w:num>
  <w:num w:numId="13">
    <w:abstractNumId w:val="57"/>
  </w:num>
  <w:num w:numId="14">
    <w:abstractNumId w:val="68"/>
  </w:num>
  <w:num w:numId="15">
    <w:abstractNumId w:val="52"/>
  </w:num>
  <w:num w:numId="16">
    <w:abstractNumId w:val="59"/>
  </w:num>
  <w:num w:numId="17">
    <w:abstractNumId w:val="14"/>
  </w:num>
  <w:num w:numId="18">
    <w:abstractNumId w:val="22"/>
  </w:num>
  <w:num w:numId="19">
    <w:abstractNumId w:val="18"/>
  </w:num>
  <w:num w:numId="20">
    <w:abstractNumId w:val="9"/>
  </w:num>
  <w:num w:numId="21">
    <w:abstractNumId w:val="77"/>
  </w:num>
  <w:num w:numId="22">
    <w:abstractNumId w:val="6"/>
  </w:num>
  <w:num w:numId="23">
    <w:abstractNumId w:val="21"/>
  </w:num>
  <w:num w:numId="24">
    <w:abstractNumId w:val="73"/>
  </w:num>
  <w:num w:numId="25">
    <w:abstractNumId w:val="31"/>
  </w:num>
  <w:num w:numId="26">
    <w:abstractNumId w:val="25"/>
  </w:num>
  <w:num w:numId="27">
    <w:abstractNumId w:val="41"/>
  </w:num>
  <w:num w:numId="28">
    <w:abstractNumId w:val="19"/>
  </w:num>
  <w:num w:numId="29">
    <w:abstractNumId w:val="50"/>
  </w:num>
  <w:num w:numId="30">
    <w:abstractNumId w:val="7"/>
  </w:num>
  <w:num w:numId="31">
    <w:abstractNumId w:val="15"/>
  </w:num>
  <w:num w:numId="3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5"/>
  </w:num>
  <w:num w:numId="35">
    <w:abstractNumId w:val="67"/>
  </w:num>
  <w:num w:numId="36">
    <w:abstractNumId w:val="60"/>
  </w:num>
  <w:num w:numId="37">
    <w:abstractNumId w:val="48"/>
  </w:num>
  <w:num w:numId="38">
    <w:abstractNumId w:val="32"/>
  </w:num>
  <w:num w:numId="39">
    <w:abstractNumId w:val="28"/>
  </w:num>
  <w:num w:numId="40">
    <w:abstractNumId w:val="58"/>
  </w:num>
  <w:num w:numId="41">
    <w:abstractNumId w:val="3"/>
  </w:num>
  <w:num w:numId="42">
    <w:abstractNumId w:val="37"/>
  </w:num>
  <w:num w:numId="43">
    <w:abstractNumId w:val="13"/>
  </w:num>
  <w:num w:numId="44">
    <w:abstractNumId w:val="87"/>
  </w:num>
  <w:num w:numId="45">
    <w:abstractNumId w:val="29"/>
  </w:num>
  <w:num w:numId="46">
    <w:abstractNumId w:val="79"/>
  </w:num>
  <w:num w:numId="47">
    <w:abstractNumId w:val="83"/>
  </w:num>
  <w:num w:numId="48">
    <w:abstractNumId w:val="75"/>
  </w:num>
  <w:num w:numId="49">
    <w:abstractNumId w:val="30"/>
  </w:num>
  <w:num w:numId="50">
    <w:abstractNumId w:val="71"/>
  </w:num>
  <w:num w:numId="51">
    <w:abstractNumId w:val="88"/>
  </w:num>
  <w:num w:numId="52">
    <w:abstractNumId w:val="85"/>
  </w:num>
  <w:num w:numId="53">
    <w:abstractNumId w:val="66"/>
  </w:num>
  <w:num w:numId="54">
    <w:abstractNumId w:val="16"/>
  </w:num>
  <w:num w:numId="55">
    <w:abstractNumId w:val="2"/>
  </w:num>
  <w:num w:numId="56">
    <w:abstractNumId w:val="1"/>
  </w:num>
  <w:num w:numId="57">
    <w:abstractNumId w:val="44"/>
  </w:num>
  <w:num w:numId="58">
    <w:abstractNumId w:val="0"/>
  </w:num>
  <w:num w:numId="59">
    <w:abstractNumId w:val="12"/>
  </w:num>
  <w:num w:numId="60">
    <w:abstractNumId w:val="8"/>
  </w:num>
  <w:num w:numId="61">
    <w:abstractNumId w:val="64"/>
  </w:num>
  <w:num w:numId="62">
    <w:abstractNumId w:val="46"/>
  </w:num>
  <w:num w:numId="63">
    <w:abstractNumId w:val="26"/>
  </w:num>
  <w:num w:numId="64">
    <w:abstractNumId w:val="40"/>
  </w:num>
  <w:num w:numId="65">
    <w:abstractNumId w:val="62"/>
  </w:num>
  <w:num w:numId="66">
    <w:abstractNumId w:val="63"/>
  </w:num>
  <w:num w:numId="67">
    <w:abstractNumId w:val="65"/>
  </w:num>
  <w:num w:numId="68">
    <w:abstractNumId w:val="70"/>
  </w:num>
  <w:num w:numId="69">
    <w:abstractNumId w:val="86"/>
  </w:num>
  <w:num w:numId="70">
    <w:abstractNumId w:val="34"/>
  </w:num>
  <w:num w:numId="71">
    <w:abstractNumId w:val="54"/>
  </w:num>
  <w:num w:numId="72">
    <w:abstractNumId w:val="49"/>
  </w:num>
  <w:num w:numId="73">
    <w:abstractNumId w:val="33"/>
  </w:num>
  <w:num w:numId="74">
    <w:abstractNumId w:val="72"/>
  </w:num>
  <w:num w:numId="75">
    <w:abstractNumId w:val="5"/>
  </w:num>
  <w:num w:numId="76">
    <w:abstractNumId w:val="84"/>
  </w:num>
  <w:num w:numId="77">
    <w:abstractNumId w:val="89"/>
  </w:num>
  <w:num w:numId="78">
    <w:abstractNumId w:val="53"/>
  </w:num>
  <w:num w:numId="79">
    <w:abstractNumId w:val="27"/>
  </w:num>
  <w:num w:numId="80">
    <w:abstractNumId w:val="47"/>
  </w:num>
  <w:num w:numId="81">
    <w:abstractNumId w:val="36"/>
  </w:num>
  <w:num w:numId="82">
    <w:abstractNumId w:val="38"/>
  </w:num>
  <w:num w:numId="83">
    <w:abstractNumId w:val="81"/>
  </w:num>
  <w:num w:numId="84">
    <w:abstractNumId w:val="45"/>
  </w:num>
  <w:num w:numId="85">
    <w:abstractNumId w:val="39"/>
  </w:num>
  <w:num w:numId="86">
    <w:abstractNumId w:val="42"/>
  </w:num>
  <w:num w:numId="87">
    <w:abstractNumId w:val="78"/>
  </w:num>
  <w:num w:numId="88">
    <w:abstractNumId w:val="23"/>
  </w:num>
  <w:num w:numId="89">
    <w:abstractNumId w:val="11"/>
  </w:num>
  <w:num w:numId="90">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savePreviewPicture/>
  <w:hdrShapeDefaults>
    <o:shapedefaults v:ext="edit" spidmax="39937">
      <o:colormru v:ext="edit" colors="#ccecff,#e5f5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31B74AD-6098-4A82-BE57-A6752E99429F}"/>
  </w:docVars>
  <w:rsids>
    <w:rsidRoot w:val="007F2071"/>
    <w:rsid w:val="000010DE"/>
    <w:rsid w:val="000010F1"/>
    <w:rsid w:val="0000205E"/>
    <w:rsid w:val="00003B85"/>
    <w:rsid w:val="00004AD4"/>
    <w:rsid w:val="00004FC4"/>
    <w:rsid w:val="00005A8D"/>
    <w:rsid w:val="0000709B"/>
    <w:rsid w:val="000073C9"/>
    <w:rsid w:val="000074E1"/>
    <w:rsid w:val="00010162"/>
    <w:rsid w:val="00010DBF"/>
    <w:rsid w:val="00011763"/>
    <w:rsid w:val="00011E58"/>
    <w:rsid w:val="000128A3"/>
    <w:rsid w:val="000139C7"/>
    <w:rsid w:val="000152D8"/>
    <w:rsid w:val="00016365"/>
    <w:rsid w:val="000169C9"/>
    <w:rsid w:val="00017F39"/>
    <w:rsid w:val="00020615"/>
    <w:rsid w:val="00021719"/>
    <w:rsid w:val="0002224A"/>
    <w:rsid w:val="0002402A"/>
    <w:rsid w:val="0002431D"/>
    <w:rsid w:val="00026927"/>
    <w:rsid w:val="000275CB"/>
    <w:rsid w:val="00030840"/>
    <w:rsid w:val="000317A6"/>
    <w:rsid w:val="000318F7"/>
    <w:rsid w:val="00031F5B"/>
    <w:rsid w:val="0003429A"/>
    <w:rsid w:val="00034369"/>
    <w:rsid w:val="0003482D"/>
    <w:rsid w:val="000366EF"/>
    <w:rsid w:val="0003787C"/>
    <w:rsid w:val="0004229D"/>
    <w:rsid w:val="0004359F"/>
    <w:rsid w:val="00043798"/>
    <w:rsid w:val="00043E6D"/>
    <w:rsid w:val="000445D2"/>
    <w:rsid w:val="00044EC4"/>
    <w:rsid w:val="00045449"/>
    <w:rsid w:val="0004551B"/>
    <w:rsid w:val="00047762"/>
    <w:rsid w:val="00050506"/>
    <w:rsid w:val="000505A7"/>
    <w:rsid w:val="00050B0B"/>
    <w:rsid w:val="00051FED"/>
    <w:rsid w:val="0005394C"/>
    <w:rsid w:val="00053AD5"/>
    <w:rsid w:val="00054704"/>
    <w:rsid w:val="00054D76"/>
    <w:rsid w:val="00055AC6"/>
    <w:rsid w:val="00055C9D"/>
    <w:rsid w:val="00056283"/>
    <w:rsid w:val="00056421"/>
    <w:rsid w:val="00057458"/>
    <w:rsid w:val="0005750F"/>
    <w:rsid w:val="00060754"/>
    <w:rsid w:val="000623C9"/>
    <w:rsid w:val="00062E37"/>
    <w:rsid w:val="00064AA4"/>
    <w:rsid w:val="00065150"/>
    <w:rsid w:val="0006577C"/>
    <w:rsid w:val="00065E33"/>
    <w:rsid w:val="00065E93"/>
    <w:rsid w:val="0006608D"/>
    <w:rsid w:val="00067923"/>
    <w:rsid w:val="00067D22"/>
    <w:rsid w:val="00070540"/>
    <w:rsid w:val="00071DBF"/>
    <w:rsid w:val="00074338"/>
    <w:rsid w:val="00074B9A"/>
    <w:rsid w:val="00074EDA"/>
    <w:rsid w:val="00076126"/>
    <w:rsid w:val="000763BC"/>
    <w:rsid w:val="0007695F"/>
    <w:rsid w:val="00076ED5"/>
    <w:rsid w:val="000772C7"/>
    <w:rsid w:val="00080026"/>
    <w:rsid w:val="000823A6"/>
    <w:rsid w:val="00082659"/>
    <w:rsid w:val="000831C5"/>
    <w:rsid w:val="00083B52"/>
    <w:rsid w:val="0008484B"/>
    <w:rsid w:val="000848CD"/>
    <w:rsid w:val="000849AC"/>
    <w:rsid w:val="00085409"/>
    <w:rsid w:val="0009167D"/>
    <w:rsid w:val="000927F1"/>
    <w:rsid w:val="00092AC5"/>
    <w:rsid w:val="000933F2"/>
    <w:rsid w:val="000944FE"/>
    <w:rsid w:val="00094BA1"/>
    <w:rsid w:val="00096D83"/>
    <w:rsid w:val="00096DF5"/>
    <w:rsid w:val="00097208"/>
    <w:rsid w:val="000A0DF5"/>
    <w:rsid w:val="000A24E8"/>
    <w:rsid w:val="000A2919"/>
    <w:rsid w:val="000A393D"/>
    <w:rsid w:val="000A3BBB"/>
    <w:rsid w:val="000A4002"/>
    <w:rsid w:val="000A69FB"/>
    <w:rsid w:val="000A6AF5"/>
    <w:rsid w:val="000A7128"/>
    <w:rsid w:val="000A729B"/>
    <w:rsid w:val="000A7521"/>
    <w:rsid w:val="000B096A"/>
    <w:rsid w:val="000B1644"/>
    <w:rsid w:val="000B17BF"/>
    <w:rsid w:val="000B19B0"/>
    <w:rsid w:val="000B2A30"/>
    <w:rsid w:val="000B3387"/>
    <w:rsid w:val="000B5C4F"/>
    <w:rsid w:val="000B67E5"/>
    <w:rsid w:val="000B743A"/>
    <w:rsid w:val="000B7558"/>
    <w:rsid w:val="000C0D11"/>
    <w:rsid w:val="000C0E2C"/>
    <w:rsid w:val="000C1303"/>
    <w:rsid w:val="000C2BF2"/>
    <w:rsid w:val="000C40AD"/>
    <w:rsid w:val="000C468E"/>
    <w:rsid w:val="000C6B94"/>
    <w:rsid w:val="000C7656"/>
    <w:rsid w:val="000D0F8B"/>
    <w:rsid w:val="000D11F3"/>
    <w:rsid w:val="000D3FE4"/>
    <w:rsid w:val="000D44DE"/>
    <w:rsid w:val="000D45D3"/>
    <w:rsid w:val="000D49CD"/>
    <w:rsid w:val="000D6CD2"/>
    <w:rsid w:val="000D7E20"/>
    <w:rsid w:val="000E03A2"/>
    <w:rsid w:val="000E0C65"/>
    <w:rsid w:val="000E15B6"/>
    <w:rsid w:val="000E242F"/>
    <w:rsid w:val="000E3195"/>
    <w:rsid w:val="000E405D"/>
    <w:rsid w:val="000E41C9"/>
    <w:rsid w:val="000E437B"/>
    <w:rsid w:val="000E48E6"/>
    <w:rsid w:val="000E6023"/>
    <w:rsid w:val="000E7157"/>
    <w:rsid w:val="000F2C64"/>
    <w:rsid w:val="000F45EA"/>
    <w:rsid w:val="000F56AC"/>
    <w:rsid w:val="000F5958"/>
    <w:rsid w:val="000F65D2"/>
    <w:rsid w:val="000F752D"/>
    <w:rsid w:val="000F78A0"/>
    <w:rsid w:val="000F7C1D"/>
    <w:rsid w:val="001018BD"/>
    <w:rsid w:val="00101AD3"/>
    <w:rsid w:val="00101C93"/>
    <w:rsid w:val="00102133"/>
    <w:rsid w:val="00102E46"/>
    <w:rsid w:val="00102F90"/>
    <w:rsid w:val="00103DC7"/>
    <w:rsid w:val="0010429A"/>
    <w:rsid w:val="00104C93"/>
    <w:rsid w:val="00105B8B"/>
    <w:rsid w:val="00105CED"/>
    <w:rsid w:val="001072E3"/>
    <w:rsid w:val="001076CB"/>
    <w:rsid w:val="00110AC5"/>
    <w:rsid w:val="0011324B"/>
    <w:rsid w:val="0011331A"/>
    <w:rsid w:val="00114675"/>
    <w:rsid w:val="00115A77"/>
    <w:rsid w:val="00116D8A"/>
    <w:rsid w:val="001202C5"/>
    <w:rsid w:val="001203E3"/>
    <w:rsid w:val="0012159E"/>
    <w:rsid w:val="001221FD"/>
    <w:rsid w:val="00122D0B"/>
    <w:rsid w:val="00125C7E"/>
    <w:rsid w:val="00126487"/>
    <w:rsid w:val="001267FA"/>
    <w:rsid w:val="001278BA"/>
    <w:rsid w:val="001305D9"/>
    <w:rsid w:val="00131709"/>
    <w:rsid w:val="0013308F"/>
    <w:rsid w:val="001335E3"/>
    <w:rsid w:val="0013377A"/>
    <w:rsid w:val="0013436E"/>
    <w:rsid w:val="001346DD"/>
    <w:rsid w:val="00134CB1"/>
    <w:rsid w:val="00134D0D"/>
    <w:rsid w:val="00136E42"/>
    <w:rsid w:val="001372C9"/>
    <w:rsid w:val="00137498"/>
    <w:rsid w:val="00140F5F"/>
    <w:rsid w:val="00141ED0"/>
    <w:rsid w:val="00142178"/>
    <w:rsid w:val="00142413"/>
    <w:rsid w:val="00143D22"/>
    <w:rsid w:val="00145A86"/>
    <w:rsid w:val="00146BD7"/>
    <w:rsid w:val="00146FBA"/>
    <w:rsid w:val="00147031"/>
    <w:rsid w:val="00147092"/>
    <w:rsid w:val="001473BC"/>
    <w:rsid w:val="00147C67"/>
    <w:rsid w:val="00147E6D"/>
    <w:rsid w:val="00150175"/>
    <w:rsid w:val="00152703"/>
    <w:rsid w:val="00152B78"/>
    <w:rsid w:val="001534F0"/>
    <w:rsid w:val="00153605"/>
    <w:rsid w:val="00153D4D"/>
    <w:rsid w:val="00154B76"/>
    <w:rsid w:val="00154F41"/>
    <w:rsid w:val="00154F53"/>
    <w:rsid w:val="001555A3"/>
    <w:rsid w:val="00157947"/>
    <w:rsid w:val="00161994"/>
    <w:rsid w:val="00161D05"/>
    <w:rsid w:val="00161FB5"/>
    <w:rsid w:val="001620B6"/>
    <w:rsid w:val="00162EE0"/>
    <w:rsid w:val="0016398D"/>
    <w:rsid w:val="00164049"/>
    <w:rsid w:val="00164817"/>
    <w:rsid w:val="00164CC7"/>
    <w:rsid w:val="001654D0"/>
    <w:rsid w:val="001658BD"/>
    <w:rsid w:val="00167EFC"/>
    <w:rsid w:val="00167F04"/>
    <w:rsid w:val="001715C5"/>
    <w:rsid w:val="00171DA2"/>
    <w:rsid w:val="00172D99"/>
    <w:rsid w:val="00174E06"/>
    <w:rsid w:val="00174EC5"/>
    <w:rsid w:val="00175336"/>
    <w:rsid w:val="0017548D"/>
    <w:rsid w:val="001756A0"/>
    <w:rsid w:val="001759E4"/>
    <w:rsid w:val="00175DBF"/>
    <w:rsid w:val="0017642C"/>
    <w:rsid w:val="0017660B"/>
    <w:rsid w:val="001768F2"/>
    <w:rsid w:val="001775DC"/>
    <w:rsid w:val="001777F9"/>
    <w:rsid w:val="00180555"/>
    <w:rsid w:val="001813A8"/>
    <w:rsid w:val="00181AF1"/>
    <w:rsid w:val="00182CB4"/>
    <w:rsid w:val="001831D9"/>
    <w:rsid w:val="00185BB1"/>
    <w:rsid w:val="001877AB"/>
    <w:rsid w:val="00187ABB"/>
    <w:rsid w:val="00187B0B"/>
    <w:rsid w:val="00190A72"/>
    <w:rsid w:val="00191A7B"/>
    <w:rsid w:val="00193795"/>
    <w:rsid w:val="001948D7"/>
    <w:rsid w:val="00194CB4"/>
    <w:rsid w:val="00194CDA"/>
    <w:rsid w:val="001953DF"/>
    <w:rsid w:val="00196F10"/>
    <w:rsid w:val="00197D2B"/>
    <w:rsid w:val="001A12A0"/>
    <w:rsid w:val="001A50A8"/>
    <w:rsid w:val="001A5C53"/>
    <w:rsid w:val="001A795E"/>
    <w:rsid w:val="001A7F46"/>
    <w:rsid w:val="001B13A0"/>
    <w:rsid w:val="001B25B0"/>
    <w:rsid w:val="001B28CE"/>
    <w:rsid w:val="001B290C"/>
    <w:rsid w:val="001B2E47"/>
    <w:rsid w:val="001B51F3"/>
    <w:rsid w:val="001B5BE7"/>
    <w:rsid w:val="001B5EA1"/>
    <w:rsid w:val="001B65B1"/>
    <w:rsid w:val="001B6DE7"/>
    <w:rsid w:val="001B7285"/>
    <w:rsid w:val="001C2992"/>
    <w:rsid w:val="001C37C2"/>
    <w:rsid w:val="001C3B9B"/>
    <w:rsid w:val="001C3EB0"/>
    <w:rsid w:val="001C42D2"/>
    <w:rsid w:val="001C49A4"/>
    <w:rsid w:val="001C6252"/>
    <w:rsid w:val="001C7122"/>
    <w:rsid w:val="001C764A"/>
    <w:rsid w:val="001C76D9"/>
    <w:rsid w:val="001C7BAF"/>
    <w:rsid w:val="001D0306"/>
    <w:rsid w:val="001D084D"/>
    <w:rsid w:val="001D1673"/>
    <w:rsid w:val="001D282C"/>
    <w:rsid w:val="001D2C9B"/>
    <w:rsid w:val="001D3B83"/>
    <w:rsid w:val="001D4014"/>
    <w:rsid w:val="001D4547"/>
    <w:rsid w:val="001D494D"/>
    <w:rsid w:val="001D4D58"/>
    <w:rsid w:val="001D5375"/>
    <w:rsid w:val="001D72C6"/>
    <w:rsid w:val="001D7408"/>
    <w:rsid w:val="001D7928"/>
    <w:rsid w:val="001E0106"/>
    <w:rsid w:val="001E076A"/>
    <w:rsid w:val="001E1FA7"/>
    <w:rsid w:val="001E2BCE"/>
    <w:rsid w:val="001E4365"/>
    <w:rsid w:val="001E444D"/>
    <w:rsid w:val="001E666E"/>
    <w:rsid w:val="001E6882"/>
    <w:rsid w:val="001E7A74"/>
    <w:rsid w:val="001E7BBA"/>
    <w:rsid w:val="001E7F15"/>
    <w:rsid w:val="001F0FBE"/>
    <w:rsid w:val="001F1F89"/>
    <w:rsid w:val="001F2AF9"/>
    <w:rsid w:val="001F3286"/>
    <w:rsid w:val="001F37FF"/>
    <w:rsid w:val="001F40E4"/>
    <w:rsid w:val="001F7AEF"/>
    <w:rsid w:val="0020096D"/>
    <w:rsid w:val="00200BC0"/>
    <w:rsid w:val="00200CF2"/>
    <w:rsid w:val="00201560"/>
    <w:rsid w:val="00201812"/>
    <w:rsid w:val="00202B0C"/>
    <w:rsid w:val="00202F40"/>
    <w:rsid w:val="00203610"/>
    <w:rsid w:val="00203780"/>
    <w:rsid w:val="00203C67"/>
    <w:rsid w:val="002041C8"/>
    <w:rsid w:val="00204BEE"/>
    <w:rsid w:val="00204FC2"/>
    <w:rsid w:val="00205B54"/>
    <w:rsid w:val="00206C8D"/>
    <w:rsid w:val="0020788E"/>
    <w:rsid w:val="0021004A"/>
    <w:rsid w:val="00210BB4"/>
    <w:rsid w:val="00211715"/>
    <w:rsid w:val="00211812"/>
    <w:rsid w:val="00211D94"/>
    <w:rsid w:val="00213E33"/>
    <w:rsid w:val="00214AC4"/>
    <w:rsid w:val="00214BA9"/>
    <w:rsid w:val="00215C87"/>
    <w:rsid w:val="00215FE7"/>
    <w:rsid w:val="0021697A"/>
    <w:rsid w:val="002169C3"/>
    <w:rsid w:val="0021773A"/>
    <w:rsid w:val="00217975"/>
    <w:rsid w:val="00217CA3"/>
    <w:rsid w:val="0022128F"/>
    <w:rsid w:val="00221771"/>
    <w:rsid w:val="00221DDC"/>
    <w:rsid w:val="00221EF7"/>
    <w:rsid w:val="00224FC2"/>
    <w:rsid w:val="00226738"/>
    <w:rsid w:val="002271C8"/>
    <w:rsid w:val="00227878"/>
    <w:rsid w:val="002303E7"/>
    <w:rsid w:val="00230A3F"/>
    <w:rsid w:val="002310BC"/>
    <w:rsid w:val="00231445"/>
    <w:rsid w:val="002316AC"/>
    <w:rsid w:val="0023189F"/>
    <w:rsid w:val="00231E16"/>
    <w:rsid w:val="00233A72"/>
    <w:rsid w:val="00233CD2"/>
    <w:rsid w:val="002342F5"/>
    <w:rsid w:val="00235F87"/>
    <w:rsid w:val="0024008C"/>
    <w:rsid w:val="002429C0"/>
    <w:rsid w:val="00242A4D"/>
    <w:rsid w:val="00244CE1"/>
    <w:rsid w:val="00245A8B"/>
    <w:rsid w:val="00245BE1"/>
    <w:rsid w:val="0024765E"/>
    <w:rsid w:val="00247CF7"/>
    <w:rsid w:val="002504FF"/>
    <w:rsid w:val="00251AC7"/>
    <w:rsid w:val="00251B5E"/>
    <w:rsid w:val="0025203E"/>
    <w:rsid w:val="002526A7"/>
    <w:rsid w:val="002533FF"/>
    <w:rsid w:val="002535DB"/>
    <w:rsid w:val="00253B31"/>
    <w:rsid w:val="0025556E"/>
    <w:rsid w:val="002570F4"/>
    <w:rsid w:val="002578FF"/>
    <w:rsid w:val="00262471"/>
    <w:rsid w:val="00262C9D"/>
    <w:rsid w:val="002644F4"/>
    <w:rsid w:val="00265347"/>
    <w:rsid w:val="00265A7B"/>
    <w:rsid w:val="00265A92"/>
    <w:rsid w:val="00265DE8"/>
    <w:rsid w:val="0026677F"/>
    <w:rsid w:val="002708D0"/>
    <w:rsid w:val="002709DF"/>
    <w:rsid w:val="00270B39"/>
    <w:rsid w:val="00270C17"/>
    <w:rsid w:val="0027102C"/>
    <w:rsid w:val="0027102F"/>
    <w:rsid w:val="00271A34"/>
    <w:rsid w:val="00272150"/>
    <w:rsid w:val="00274503"/>
    <w:rsid w:val="002745F7"/>
    <w:rsid w:val="00274670"/>
    <w:rsid w:val="0027550C"/>
    <w:rsid w:val="002755EE"/>
    <w:rsid w:val="0027569B"/>
    <w:rsid w:val="00275D03"/>
    <w:rsid w:val="00275F2C"/>
    <w:rsid w:val="0027673C"/>
    <w:rsid w:val="00276D79"/>
    <w:rsid w:val="00277C75"/>
    <w:rsid w:val="00277F69"/>
    <w:rsid w:val="002811D1"/>
    <w:rsid w:val="00282C35"/>
    <w:rsid w:val="00282D77"/>
    <w:rsid w:val="0028393F"/>
    <w:rsid w:val="002851B7"/>
    <w:rsid w:val="00285DF5"/>
    <w:rsid w:val="00286564"/>
    <w:rsid w:val="002872F4"/>
    <w:rsid w:val="002876AE"/>
    <w:rsid w:val="00287A06"/>
    <w:rsid w:val="00287F48"/>
    <w:rsid w:val="00290B02"/>
    <w:rsid w:val="00291AC8"/>
    <w:rsid w:val="00292223"/>
    <w:rsid w:val="002929DA"/>
    <w:rsid w:val="00293967"/>
    <w:rsid w:val="00294097"/>
    <w:rsid w:val="00294502"/>
    <w:rsid w:val="00297438"/>
    <w:rsid w:val="00297877"/>
    <w:rsid w:val="00297BC4"/>
    <w:rsid w:val="002A0169"/>
    <w:rsid w:val="002A0296"/>
    <w:rsid w:val="002A0A1F"/>
    <w:rsid w:val="002A348F"/>
    <w:rsid w:val="002A38D9"/>
    <w:rsid w:val="002A4B8D"/>
    <w:rsid w:val="002A69E7"/>
    <w:rsid w:val="002A6CD1"/>
    <w:rsid w:val="002A745B"/>
    <w:rsid w:val="002B0BBE"/>
    <w:rsid w:val="002B0EA5"/>
    <w:rsid w:val="002B0FBB"/>
    <w:rsid w:val="002B1D21"/>
    <w:rsid w:val="002B248D"/>
    <w:rsid w:val="002B2E43"/>
    <w:rsid w:val="002B2EC7"/>
    <w:rsid w:val="002B3CA0"/>
    <w:rsid w:val="002B4E16"/>
    <w:rsid w:val="002B5A21"/>
    <w:rsid w:val="002B5E6E"/>
    <w:rsid w:val="002B6552"/>
    <w:rsid w:val="002B6AFD"/>
    <w:rsid w:val="002B7CAD"/>
    <w:rsid w:val="002C159D"/>
    <w:rsid w:val="002C26FC"/>
    <w:rsid w:val="002C2D6E"/>
    <w:rsid w:val="002C3AAD"/>
    <w:rsid w:val="002C42E1"/>
    <w:rsid w:val="002D0A49"/>
    <w:rsid w:val="002D0D37"/>
    <w:rsid w:val="002D122D"/>
    <w:rsid w:val="002D16DB"/>
    <w:rsid w:val="002D1784"/>
    <w:rsid w:val="002D3CC1"/>
    <w:rsid w:val="002D40C4"/>
    <w:rsid w:val="002D43F1"/>
    <w:rsid w:val="002D45E1"/>
    <w:rsid w:val="002D4ECD"/>
    <w:rsid w:val="002D6A4D"/>
    <w:rsid w:val="002D7320"/>
    <w:rsid w:val="002D7589"/>
    <w:rsid w:val="002E0B88"/>
    <w:rsid w:val="002E0F66"/>
    <w:rsid w:val="002E0FEE"/>
    <w:rsid w:val="002E128A"/>
    <w:rsid w:val="002E12B6"/>
    <w:rsid w:val="002E14EC"/>
    <w:rsid w:val="002E1E07"/>
    <w:rsid w:val="002E1E17"/>
    <w:rsid w:val="002E298C"/>
    <w:rsid w:val="002E31EC"/>
    <w:rsid w:val="002E3979"/>
    <w:rsid w:val="002E4132"/>
    <w:rsid w:val="002E5874"/>
    <w:rsid w:val="002E6978"/>
    <w:rsid w:val="002E6D07"/>
    <w:rsid w:val="002E7F05"/>
    <w:rsid w:val="002E7FEA"/>
    <w:rsid w:val="002F00F9"/>
    <w:rsid w:val="002F0F90"/>
    <w:rsid w:val="002F228A"/>
    <w:rsid w:val="002F24E5"/>
    <w:rsid w:val="002F2B8A"/>
    <w:rsid w:val="002F3AC2"/>
    <w:rsid w:val="002F4141"/>
    <w:rsid w:val="002F43C3"/>
    <w:rsid w:val="002F4553"/>
    <w:rsid w:val="002F4DCA"/>
    <w:rsid w:val="002F5573"/>
    <w:rsid w:val="002F5B8C"/>
    <w:rsid w:val="002F7EA5"/>
    <w:rsid w:val="00300887"/>
    <w:rsid w:val="003027C1"/>
    <w:rsid w:val="00302FCD"/>
    <w:rsid w:val="0030376F"/>
    <w:rsid w:val="003039BB"/>
    <w:rsid w:val="003043FD"/>
    <w:rsid w:val="003048F0"/>
    <w:rsid w:val="00304D13"/>
    <w:rsid w:val="00305204"/>
    <w:rsid w:val="00305957"/>
    <w:rsid w:val="0030653A"/>
    <w:rsid w:val="00306775"/>
    <w:rsid w:val="0031116D"/>
    <w:rsid w:val="003113CD"/>
    <w:rsid w:val="00311406"/>
    <w:rsid w:val="0031177A"/>
    <w:rsid w:val="003118DF"/>
    <w:rsid w:val="00311C84"/>
    <w:rsid w:val="00312630"/>
    <w:rsid w:val="0031403D"/>
    <w:rsid w:val="00314074"/>
    <w:rsid w:val="00314E40"/>
    <w:rsid w:val="00315536"/>
    <w:rsid w:val="00316322"/>
    <w:rsid w:val="00317477"/>
    <w:rsid w:val="00320035"/>
    <w:rsid w:val="00320107"/>
    <w:rsid w:val="00320582"/>
    <w:rsid w:val="003219A3"/>
    <w:rsid w:val="0032266B"/>
    <w:rsid w:val="00323D22"/>
    <w:rsid w:val="00324AC1"/>
    <w:rsid w:val="00327085"/>
    <w:rsid w:val="00327675"/>
    <w:rsid w:val="00327CE8"/>
    <w:rsid w:val="003313D4"/>
    <w:rsid w:val="0033162C"/>
    <w:rsid w:val="00331D5B"/>
    <w:rsid w:val="00331DDE"/>
    <w:rsid w:val="003340BC"/>
    <w:rsid w:val="00335368"/>
    <w:rsid w:val="00335A3F"/>
    <w:rsid w:val="0033651D"/>
    <w:rsid w:val="00342137"/>
    <w:rsid w:val="003429D2"/>
    <w:rsid w:val="00343466"/>
    <w:rsid w:val="00344287"/>
    <w:rsid w:val="0034569A"/>
    <w:rsid w:val="003456C5"/>
    <w:rsid w:val="0034575D"/>
    <w:rsid w:val="00345CDA"/>
    <w:rsid w:val="003471F2"/>
    <w:rsid w:val="0034725C"/>
    <w:rsid w:val="00347803"/>
    <w:rsid w:val="0035054D"/>
    <w:rsid w:val="00351475"/>
    <w:rsid w:val="003519AF"/>
    <w:rsid w:val="00351DA9"/>
    <w:rsid w:val="00352BA9"/>
    <w:rsid w:val="00352DD9"/>
    <w:rsid w:val="003544F6"/>
    <w:rsid w:val="00355300"/>
    <w:rsid w:val="003570BC"/>
    <w:rsid w:val="0035757E"/>
    <w:rsid w:val="00357901"/>
    <w:rsid w:val="00357A69"/>
    <w:rsid w:val="00357AC0"/>
    <w:rsid w:val="00360065"/>
    <w:rsid w:val="003607B5"/>
    <w:rsid w:val="00360BCE"/>
    <w:rsid w:val="00361F68"/>
    <w:rsid w:val="00362203"/>
    <w:rsid w:val="0036361A"/>
    <w:rsid w:val="00364C13"/>
    <w:rsid w:val="00365720"/>
    <w:rsid w:val="00365733"/>
    <w:rsid w:val="003664D2"/>
    <w:rsid w:val="00367A31"/>
    <w:rsid w:val="00370376"/>
    <w:rsid w:val="00371BAF"/>
    <w:rsid w:val="00372365"/>
    <w:rsid w:val="00372E16"/>
    <w:rsid w:val="00372EB5"/>
    <w:rsid w:val="00374532"/>
    <w:rsid w:val="00374D6A"/>
    <w:rsid w:val="00375681"/>
    <w:rsid w:val="00380FC2"/>
    <w:rsid w:val="00382B0E"/>
    <w:rsid w:val="00383444"/>
    <w:rsid w:val="003846C5"/>
    <w:rsid w:val="00386076"/>
    <w:rsid w:val="003867C9"/>
    <w:rsid w:val="0038751D"/>
    <w:rsid w:val="00387CD4"/>
    <w:rsid w:val="00387FB0"/>
    <w:rsid w:val="003904F0"/>
    <w:rsid w:val="00390B97"/>
    <w:rsid w:val="003920BF"/>
    <w:rsid w:val="003920C0"/>
    <w:rsid w:val="00392344"/>
    <w:rsid w:val="00393458"/>
    <w:rsid w:val="00393786"/>
    <w:rsid w:val="0039425E"/>
    <w:rsid w:val="003948FE"/>
    <w:rsid w:val="00395C6E"/>
    <w:rsid w:val="003A01B9"/>
    <w:rsid w:val="003A1709"/>
    <w:rsid w:val="003A25DC"/>
    <w:rsid w:val="003A29D1"/>
    <w:rsid w:val="003A3035"/>
    <w:rsid w:val="003A35C5"/>
    <w:rsid w:val="003A45F2"/>
    <w:rsid w:val="003A55BE"/>
    <w:rsid w:val="003A5BA3"/>
    <w:rsid w:val="003B0DCD"/>
    <w:rsid w:val="003B2442"/>
    <w:rsid w:val="003B3BD6"/>
    <w:rsid w:val="003B3DD1"/>
    <w:rsid w:val="003B4547"/>
    <w:rsid w:val="003B48A1"/>
    <w:rsid w:val="003B5EF9"/>
    <w:rsid w:val="003B6351"/>
    <w:rsid w:val="003B6E48"/>
    <w:rsid w:val="003B7B03"/>
    <w:rsid w:val="003C0B7C"/>
    <w:rsid w:val="003C0B88"/>
    <w:rsid w:val="003C172E"/>
    <w:rsid w:val="003C234D"/>
    <w:rsid w:val="003C3C1F"/>
    <w:rsid w:val="003C5350"/>
    <w:rsid w:val="003C5D94"/>
    <w:rsid w:val="003C63E0"/>
    <w:rsid w:val="003C65B6"/>
    <w:rsid w:val="003C743D"/>
    <w:rsid w:val="003D0278"/>
    <w:rsid w:val="003D0601"/>
    <w:rsid w:val="003D19AE"/>
    <w:rsid w:val="003D2C43"/>
    <w:rsid w:val="003D2F52"/>
    <w:rsid w:val="003D3A6B"/>
    <w:rsid w:val="003D4653"/>
    <w:rsid w:val="003D490C"/>
    <w:rsid w:val="003D5071"/>
    <w:rsid w:val="003D51A2"/>
    <w:rsid w:val="003D5713"/>
    <w:rsid w:val="003D5E6E"/>
    <w:rsid w:val="003D6241"/>
    <w:rsid w:val="003D702A"/>
    <w:rsid w:val="003D710A"/>
    <w:rsid w:val="003E0323"/>
    <w:rsid w:val="003E080D"/>
    <w:rsid w:val="003E085A"/>
    <w:rsid w:val="003E1024"/>
    <w:rsid w:val="003E1069"/>
    <w:rsid w:val="003E3D0F"/>
    <w:rsid w:val="003E4D13"/>
    <w:rsid w:val="003E6355"/>
    <w:rsid w:val="003F00CE"/>
    <w:rsid w:val="003F0460"/>
    <w:rsid w:val="003F0563"/>
    <w:rsid w:val="003F20A4"/>
    <w:rsid w:val="003F259C"/>
    <w:rsid w:val="003F3C06"/>
    <w:rsid w:val="003F4532"/>
    <w:rsid w:val="003F4982"/>
    <w:rsid w:val="003F543B"/>
    <w:rsid w:val="003F6703"/>
    <w:rsid w:val="003F6EE8"/>
    <w:rsid w:val="003F74EE"/>
    <w:rsid w:val="004004EE"/>
    <w:rsid w:val="004006A2"/>
    <w:rsid w:val="00400EAD"/>
    <w:rsid w:val="00401222"/>
    <w:rsid w:val="004026DE"/>
    <w:rsid w:val="00402990"/>
    <w:rsid w:val="00402FF8"/>
    <w:rsid w:val="004041C2"/>
    <w:rsid w:val="0040424B"/>
    <w:rsid w:val="004054A3"/>
    <w:rsid w:val="00405BCD"/>
    <w:rsid w:val="00405EC9"/>
    <w:rsid w:val="00407BC3"/>
    <w:rsid w:val="00411D9F"/>
    <w:rsid w:val="00412309"/>
    <w:rsid w:val="004167FF"/>
    <w:rsid w:val="004170ED"/>
    <w:rsid w:val="004201FE"/>
    <w:rsid w:val="00421622"/>
    <w:rsid w:val="00421C5F"/>
    <w:rsid w:val="00423635"/>
    <w:rsid w:val="00424162"/>
    <w:rsid w:val="00425E16"/>
    <w:rsid w:val="00426604"/>
    <w:rsid w:val="00427BCB"/>
    <w:rsid w:val="00427E40"/>
    <w:rsid w:val="004306C1"/>
    <w:rsid w:val="00430F08"/>
    <w:rsid w:val="0043211D"/>
    <w:rsid w:val="0043275B"/>
    <w:rsid w:val="00432CDB"/>
    <w:rsid w:val="00433119"/>
    <w:rsid w:val="00433DAF"/>
    <w:rsid w:val="00434369"/>
    <w:rsid w:val="00434A8D"/>
    <w:rsid w:val="004353F2"/>
    <w:rsid w:val="00435F4A"/>
    <w:rsid w:val="00440AE5"/>
    <w:rsid w:val="00441BDC"/>
    <w:rsid w:val="00441C03"/>
    <w:rsid w:val="0044256F"/>
    <w:rsid w:val="0044410D"/>
    <w:rsid w:val="00444236"/>
    <w:rsid w:val="00444615"/>
    <w:rsid w:val="004450FD"/>
    <w:rsid w:val="00445239"/>
    <w:rsid w:val="00445641"/>
    <w:rsid w:val="004462CA"/>
    <w:rsid w:val="0044646B"/>
    <w:rsid w:val="00447EF2"/>
    <w:rsid w:val="004510A7"/>
    <w:rsid w:val="0045167A"/>
    <w:rsid w:val="004526E5"/>
    <w:rsid w:val="004529E6"/>
    <w:rsid w:val="0045301C"/>
    <w:rsid w:val="00454192"/>
    <w:rsid w:val="004544F9"/>
    <w:rsid w:val="004552E8"/>
    <w:rsid w:val="00455BAA"/>
    <w:rsid w:val="00455E44"/>
    <w:rsid w:val="00461804"/>
    <w:rsid w:val="0046187C"/>
    <w:rsid w:val="00462187"/>
    <w:rsid w:val="004633CB"/>
    <w:rsid w:val="00463F7B"/>
    <w:rsid w:val="004643DE"/>
    <w:rsid w:val="004650B0"/>
    <w:rsid w:val="00465BCB"/>
    <w:rsid w:val="0046615C"/>
    <w:rsid w:val="00466295"/>
    <w:rsid w:val="004664A1"/>
    <w:rsid w:val="00470C7E"/>
    <w:rsid w:val="004731AD"/>
    <w:rsid w:val="00473811"/>
    <w:rsid w:val="00473ECE"/>
    <w:rsid w:val="004750F8"/>
    <w:rsid w:val="00475126"/>
    <w:rsid w:val="00475402"/>
    <w:rsid w:val="004775DB"/>
    <w:rsid w:val="00477615"/>
    <w:rsid w:val="00477B21"/>
    <w:rsid w:val="00477B5C"/>
    <w:rsid w:val="004800F8"/>
    <w:rsid w:val="00480595"/>
    <w:rsid w:val="00481F90"/>
    <w:rsid w:val="00485374"/>
    <w:rsid w:val="00485EB9"/>
    <w:rsid w:val="004867E0"/>
    <w:rsid w:val="00486E6B"/>
    <w:rsid w:val="004872F4"/>
    <w:rsid w:val="00487C19"/>
    <w:rsid w:val="00487FA6"/>
    <w:rsid w:val="004909CC"/>
    <w:rsid w:val="00490AD1"/>
    <w:rsid w:val="00490DE2"/>
    <w:rsid w:val="00491171"/>
    <w:rsid w:val="004915AE"/>
    <w:rsid w:val="0049212C"/>
    <w:rsid w:val="00492205"/>
    <w:rsid w:val="00493338"/>
    <w:rsid w:val="00493384"/>
    <w:rsid w:val="00493B64"/>
    <w:rsid w:val="00494943"/>
    <w:rsid w:val="00494F0E"/>
    <w:rsid w:val="00496617"/>
    <w:rsid w:val="00497043"/>
    <w:rsid w:val="00497838"/>
    <w:rsid w:val="00497AC7"/>
    <w:rsid w:val="004A01F3"/>
    <w:rsid w:val="004A1332"/>
    <w:rsid w:val="004A1FF4"/>
    <w:rsid w:val="004A2D49"/>
    <w:rsid w:val="004A3CD3"/>
    <w:rsid w:val="004A4B67"/>
    <w:rsid w:val="004A5249"/>
    <w:rsid w:val="004A63EC"/>
    <w:rsid w:val="004B151F"/>
    <w:rsid w:val="004B2D38"/>
    <w:rsid w:val="004B30E9"/>
    <w:rsid w:val="004B371E"/>
    <w:rsid w:val="004B6695"/>
    <w:rsid w:val="004B67C1"/>
    <w:rsid w:val="004B6D7E"/>
    <w:rsid w:val="004B6FB3"/>
    <w:rsid w:val="004B7115"/>
    <w:rsid w:val="004C16EE"/>
    <w:rsid w:val="004C2875"/>
    <w:rsid w:val="004C31A3"/>
    <w:rsid w:val="004C50AE"/>
    <w:rsid w:val="004C5802"/>
    <w:rsid w:val="004C59A3"/>
    <w:rsid w:val="004C6C7A"/>
    <w:rsid w:val="004C6F3E"/>
    <w:rsid w:val="004C7649"/>
    <w:rsid w:val="004D0472"/>
    <w:rsid w:val="004D1928"/>
    <w:rsid w:val="004D1C2B"/>
    <w:rsid w:val="004D1F0B"/>
    <w:rsid w:val="004D2554"/>
    <w:rsid w:val="004D2CEA"/>
    <w:rsid w:val="004D3502"/>
    <w:rsid w:val="004D3A71"/>
    <w:rsid w:val="004D3F33"/>
    <w:rsid w:val="004D42C9"/>
    <w:rsid w:val="004D4845"/>
    <w:rsid w:val="004D4D6F"/>
    <w:rsid w:val="004D4E16"/>
    <w:rsid w:val="004D5492"/>
    <w:rsid w:val="004D6DEE"/>
    <w:rsid w:val="004E08D5"/>
    <w:rsid w:val="004E0C57"/>
    <w:rsid w:val="004E20FB"/>
    <w:rsid w:val="004E2CA7"/>
    <w:rsid w:val="004E39CA"/>
    <w:rsid w:val="004E4140"/>
    <w:rsid w:val="004E6FB7"/>
    <w:rsid w:val="004F1306"/>
    <w:rsid w:val="004F1BC8"/>
    <w:rsid w:val="004F204C"/>
    <w:rsid w:val="004F29AD"/>
    <w:rsid w:val="004F3421"/>
    <w:rsid w:val="004F3CF7"/>
    <w:rsid w:val="004F738F"/>
    <w:rsid w:val="004F7A8D"/>
    <w:rsid w:val="004F7ED5"/>
    <w:rsid w:val="00500D4F"/>
    <w:rsid w:val="00501F7A"/>
    <w:rsid w:val="00502036"/>
    <w:rsid w:val="005022DB"/>
    <w:rsid w:val="005027BB"/>
    <w:rsid w:val="0050287B"/>
    <w:rsid w:val="005035AD"/>
    <w:rsid w:val="00504C79"/>
    <w:rsid w:val="005058AB"/>
    <w:rsid w:val="00505B33"/>
    <w:rsid w:val="0050696D"/>
    <w:rsid w:val="00506E1C"/>
    <w:rsid w:val="0050794D"/>
    <w:rsid w:val="00507CDA"/>
    <w:rsid w:val="00507DFC"/>
    <w:rsid w:val="00507F0B"/>
    <w:rsid w:val="00510D9F"/>
    <w:rsid w:val="00511CAB"/>
    <w:rsid w:val="005126DF"/>
    <w:rsid w:val="0051310B"/>
    <w:rsid w:val="00513115"/>
    <w:rsid w:val="00513852"/>
    <w:rsid w:val="00514040"/>
    <w:rsid w:val="00514F3D"/>
    <w:rsid w:val="00515679"/>
    <w:rsid w:val="00515EA3"/>
    <w:rsid w:val="005160AE"/>
    <w:rsid w:val="00516148"/>
    <w:rsid w:val="00516484"/>
    <w:rsid w:val="00516EE2"/>
    <w:rsid w:val="00516EEE"/>
    <w:rsid w:val="00516F11"/>
    <w:rsid w:val="005208A1"/>
    <w:rsid w:val="00521248"/>
    <w:rsid w:val="00521AC9"/>
    <w:rsid w:val="00521FDE"/>
    <w:rsid w:val="005225E2"/>
    <w:rsid w:val="005226B0"/>
    <w:rsid w:val="00523A6A"/>
    <w:rsid w:val="00523C8A"/>
    <w:rsid w:val="00524510"/>
    <w:rsid w:val="0052481B"/>
    <w:rsid w:val="00524ABB"/>
    <w:rsid w:val="005251AF"/>
    <w:rsid w:val="005254A6"/>
    <w:rsid w:val="0052561F"/>
    <w:rsid w:val="00527077"/>
    <w:rsid w:val="005277B4"/>
    <w:rsid w:val="00527DC3"/>
    <w:rsid w:val="0053120F"/>
    <w:rsid w:val="00532A1A"/>
    <w:rsid w:val="005346D2"/>
    <w:rsid w:val="0053561B"/>
    <w:rsid w:val="00535C89"/>
    <w:rsid w:val="0053615B"/>
    <w:rsid w:val="00537E6E"/>
    <w:rsid w:val="00540454"/>
    <w:rsid w:val="00542DA6"/>
    <w:rsid w:val="00543518"/>
    <w:rsid w:val="00543F87"/>
    <w:rsid w:val="0054476B"/>
    <w:rsid w:val="005448F1"/>
    <w:rsid w:val="00544F91"/>
    <w:rsid w:val="00545B5C"/>
    <w:rsid w:val="00545FC7"/>
    <w:rsid w:val="0054691D"/>
    <w:rsid w:val="005474F4"/>
    <w:rsid w:val="00547B2C"/>
    <w:rsid w:val="005511B4"/>
    <w:rsid w:val="00551CAB"/>
    <w:rsid w:val="005538E2"/>
    <w:rsid w:val="00553984"/>
    <w:rsid w:val="00554712"/>
    <w:rsid w:val="005548BF"/>
    <w:rsid w:val="00555086"/>
    <w:rsid w:val="00555AA6"/>
    <w:rsid w:val="0055665A"/>
    <w:rsid w:val="00556CD5"/>
    <w:rsid w:val="00557289"/>
    <w:rsid w:val="00560C1B"/>
    <w:rsid w:val="005611AE"/>
    <w:rsid w:val="0056210C"/>
    <w:rsid w:val="00563819"/>
    <w:rsid w:val="00565568"/>
    <w:rsid w:val="00565C13"/>
    <w:rsid w:val="00566571"/>
    <w:rsid w:val="00566B6F"/>
    <w:rsid w:val="00566C10"/>
    <w:rsid w:val="005677B5"/>
    <w:rsid w:val="005716F7"/>
    <w:rsid w:val="005725A2"/>
    <w:rsid w:val="00574886"/>
    <w:rsid w:val="0057568E"/>
    <w:rsid w:val="0057600C"/>
    <w:rsid w:val="005760A6"/>
    <w:rsid w:val="005769A0"/>
    <w:rsid w:val="00577EB6"/>
    <w:rsid w:val="00583807"/>
    <w:rsid w:val="00583E93"/>
    <w:rsid w:val="005840FB"/>
    <w:rsid w:val="00585103"/>
    <w:rsid w:val="0058538C"/>
    <w:rsid w:val="00586523"/>
    <w:rsid w:val="005915C6"/>
    <w:rsid w:val="00592DEF"/>
    <w:rsid w:val="00592DFC"/>
    <w:rsid w:val="00596A4A"/>
    <w:rsid w:val="00596B88"/>
    <w:rsid w:val="005A0080"/>
    <w:rsid w:val="005A19DB"/>
    <w:rsid w:val="005A1CDC"/>
    <w:rsid w:val="005A2A34"/>
    <w:rsid w:val="005A4C26"/>
    <w:rsid w:val="005A540E"/>
    <w:rsid w:val="005A728A"/>
    <w:rsid w:val="005B0115"/>
    <w:rsid w:val="005B050C"/>
    <w:rsid w:val="005B06E1"/>
    <w:rsid w:val="005B0E69"/>
    <w:rsid w:val="005B1A22"/>
    <w:rsid w:val="005B1FBC"/>
    <w:rsid w:val="005B3A22"/>
    <w:rsid w:val="005B5A8C"/>
    <w:rsid w:val="005B76D9"/>
    <w:rsid w:val="005C346B"/>
    <w:rsid w:val="005C3C38"/>
    <w:rsid w:val="005C3F60"/>
    <w:rsid w:val="005C4A4C"/>
    <w:rsid w:val="005C4B05"/>
    <w:rsid w:val="005C4BF5"/>
    <w:rsid w:val="005C54BA"/>
    <w:rsid w:val="005C5D36"/>
    <w:rsid w:val="005C681A"/>
    <w:rsid w:val="005C6BC0"/>
    <w:rsid w:val="005D0203"/>
    <w:rsid w:val="005D08A9"/>
    <w:rsid w:val="005D0F6C"/>
    <w:rsid w:val="005D1187"/>
    <w:rsid w:val="005D2B26"/>
    <w:rsid w:val="005D3B98"/>
    <w:rsid w:val="005D3D78"/>
    <w:rsid w:val="005D5C71"/>
    <w:rsid w:val="005D6A22"/>
    <w:rsid w:val="005D7B03"/>
    <w:rsid w:val="005D7C3F"/>
    <w:rsid w:val="005E0624"/>
    <w:rsid w:val="005E0ECD"/>
    <w:rsid w:val="005E1236"/>
    <w:rsid w:val="005E44AE"/>
    <w:rsid w:val="005E5C67"/>
    <w:rsid w:val="005E6576"/>
    <w:rsid w:val="005F207C"/>
    <w:rsid w:val="005F299E"/>
    <w:rsid w:val="005F432D"/>
    <w:rsid w:val="005F537F"/>
    <w:rsid w:val="005F5612"/>
    <w:rsid w:val="005F5CEB"/>
    <w:rsid w:val="005F5EF6"/>
    <w:rsid w:val="005F6449"/>
    <w:rsid w:val="005F72BB"/>
    <w:rsid w:val="006011A6"/>
    <w:rsid w:val="00602FBA"/>
    <w:rsid w:val="006035DC"/>
    <w:rsid w:val="00605061"/>
    <w:rsid w:val="00605895"/>
    <w:rsid w:val="00606496"/>
    <w:rsid w:val="006064D6"/>
    <w:rsid w:val="0060732D"/>
    <w:rsid w:val="00610098"/>
    <w:rsid w:val="00611CB2"/>
    <w:rsid w:val="0061260B"/>
    <w:rsid w:val="0061296C"/>
    <w:rsid w:val="00613078"/>
    <w:rsid w:val="006135B5"/>
    <w:rsid w:val="006135E2"/>
    <w:rsid w:val="00613718"/>
    <w:rsid w:val="00614676"/>
    <w:rsid w:val="00614D3B"/>
    <w:rsid w:val="00614DEB"/>
    <w:rsid w:val="006161D3"/>
    <w:rsid w:val="0061715C"/>
    <w:rsid w:val="00620218"/>
    <w:rsid w:val="00621886"/>
    <w:rsid w:val="00624A14"/>
    <w:rsid w:val="00624F18"/>
    <w:rsid w:val="00625114"/>
    <w:rsid w:val="006251B8"/>
    <w:rsid w:val="00626EE5"/>
    <w:rsid w:val="006279F5"/>
    <w:rsid w:val="00627D97"/>
    <w:rsid w:val="00631B34"/>
    <w:rsid w:val="006321FC"/>
    <w:rsid w:val="006321FF"/>
    <w:rsid w:val="006323F7"/>
    <w:rsid w:val="00632C4D"/>
    <w:rsid w:val="00632F88"/>
    <w:rsid w:val="00633009"/>
    <w:rsid w:val="00633491"/>
    <w:rsid w:val="00635884"/>
    <w:rsid w:val="006359AE"/>
    <w:rsid w:val="00636B97"/>
    <w:rsid w:val="006371E5"/>
    <w:rsid w:val="00637B92"/>
    <w:rsid w:val="006403D4"/>
    <w:rsid w:val="00641EE2"/>
    <w:rsid w:val="0064244A"/>
    <w:rsid w:val="006429E6"/>
    <w:rsid w:val="00643BE9"/>
    <w:rsid w:val="00644382"/>
    <w:rsid w:val="006453D5"/>
    <w:rsid w:val="00646132"/>
    <w:rsid w:val="00647B1B"/>
    <w:rsid w:val="00651451"/>
    <w:rsid w:val="00652EF8"/>
    <w:rsid w:val="00653ED1"/>
    <w:rsid w:val="00654145"/>
    <w:rsid w:val="00655E21"/>
    <w:rsid w:val="00656397"/>
    <w:rsid w:val="00656E07"/>
    <w:rsid w:val="00656FB0"/>
    <w:rsid w:val="00657811"/>
    <w:rsid w:val="00657A20"/>
    <w:rsid w:val="00657AAF"/>
    <w:rsid w:val="00660C7B"/>
    <w:rsid w:val="00660D23"/>
    <w:rsid w:val="006612E2"/>
    <w:rsid w:val="006627D0"/>
    <w:rsid w:val="006632C6"/>
    <w:rsid w:val="00664181"/>
    <w:rsid w:val="00666805"/>
    <w:rsid w:val="00667231"/>
    <w:rsid w:val="0067110A"/>
    <w:rsid w:val="0067152F"/>
    <w:rsid w:val="0067277E"/>
    <w:rsid w:val="00672CE6"/>
    <w:rsid w:val="006733A8"/>
    <w:rsid w:val="00673DDA"/>
    <w:rsid w:val="00676D4E"/>
    <w:rsid w:val="0067716A"/>
    <w:rsid w:val="00677EEA"/>
    <w:rsid w:val="0068167A"/>
    <w:rsid w:val="00681A99"/>
    <w:rsid w:val="00683067"/>
    <w:rsid w:val="006834AB"/>
    <w:rsid w:val="0068350F"/>
    <w:rsid w:val="006846DC"/>
    <w:rsid w:val="00684A74"/>
    <w:rsid w:val="00684C50"/>
    <w:rsid w:val="00684D37"/>
    <w:rsid w:val="00686314"/>
    <w:rsid w:val="00693B6F"/>
    <w:rsid w:val="006949DB"/>
    <w:rsid w:val="00695B49"/>
    <w:rsid w:val="0069700B"/>
    <w:rsid w:val="00697880"/>
    <w:rsid w:val="006A002C"/>
    <w:rsid w:val="006A098D"/>
    <w:rsid w:val="006A1087"/>
    <w:rsid w:val="006A2BE9"/>
    <w:rsid w:val="006A376E"/>
    <w:rsid w:val="006A4AD1"/>
    <w:rsid w:val="006A4EAE"/>
    <w:rsid w:val="006A62FD"/>
    <w:rsid w:val="006A6E44"/>
    <w:rsid w:val="006B09D7"/>
    <w:rsid w:val="006B1D66"/>
    <w:rsid w:val="006B1F9F"/>
    <w:rsid w:val="006B2616"/>
    <w:rsid w:val="006B274D"/>
    <w:rsid w:val="006B27B0"/>
    <w:rsid w:val="006B2DA0"/>
    <w:rsid w:val="006B3230"/>
    <w:rsid w:val="006B3367"/>
    <w:rsid w:val="006B46F7"/>
    <w:rsid w:val="006B4796"/>
    <w:rsid w:val="006B4A0A"/>
    <w:rsid w:val="006B5455"/>
    <w:rsid w:val="006B64CE"/>
    <w:rsid w:val="006B7DF2"/>
    <w:rsid w:val="006C18D9"/>
    <w:rsid w:val="006C483A"/>
    <w:rsid w:val="006C4CBF"/>
    <w:rsid w:val="006C5B97"/>
    <w:rsid w:val="006C5D75"/>
    <w:rsid w:val="006C6599"/>
    <w:rsid w:val="006C6A02"/>
    <w:rsid w:val="006C6D22"/>
    <w:rsid w:val="006C7A2D"/>
    <w:rsid w:val="006C7D5E"/>
    <w:rsid w:val="006D113E"/>
    <w:rsid w:val="006D20C2"/>
    <w:rsid w:val="006D28A8"/>
    <w:rsid w:val="006D3091"/>
    <w:rsid w:val="006D3DD6"/>
    <w:rsid w:val="006D3F17"/>
    <w:rsid w:val="006D4D30"/>
    <w:rsid w:val="006D5357"/>
    <w:rsid w:val="006D5F10"/>
    <w:rsid w:val="006D5F73"/>
    <w:rsid w:val="006D6903"/>
    <w:rsid w:val="006D6E6F"/>
    <w:rsid w:val="006D7D16"/>
    <w:rsid w:val="006E02C2"/>
    <w:rsid w:val="006E0EF3"/>
    <w:rsid w:val="006E100A"/>
    <w:rsid w:val="006E315E"/>
    <w:rsid w:val="006E4033"/>
    <w:rsid w:val="006E590E"/>
    <w:rsid w:val="006E5C8B"/>
    <w:rsid w:val="006E61C6"/>
    <w:rsid w:val="006E6A06"/>
    <w:rsid w:val="006E7150"/>
    <w:rsid w:val="006F086F"/>
    <w:rsid w:val="006F0C15"/>
    <w:rsid w:val="006F0CE5"/>
    <w:rsid w:val="006F0F79"/>
    <w:rsid w:val="006F18AB"/>
    <w:rsid w:val="006F29DA"/>
    <w:rsid w:val="006F3EBC"/>
    <w:rsid w:val="006F417B"/>
    <w:rsid w:val="006F4CBB"/>
    <w:rsid w:val="006F6A2C"/>
    <w:rsid w:val="006F6C26"/>
    <w:rsid w:val="006F7FE4"/>
    <w:rsid w:val="00700609"/>
    <w:rsid w:val="00700B5D"/>
    <w:rsid w:val="00701434"/>
    <w:rsid w:val="00701C8D"/>
    <w:rsid w:val="007025A6"/>
    <w:rsid w:val="00702699"/>
    <w:rsid w:val="00703F1B"/>
    <w:rsid w:val="00704CB7"/>
    <w:rsid w:val="00705E4A"/>
    <w:rsid w:val="00705EB5"/>
    <w:rsid w:val="007062F3"/>
    <w:rsid w:val="007066F1"/>
    <w:rsid w:val="00706A15"/>
    <w:rsid w:val="007104D1"/>
    <w:rsid w:val="00711391"/>
    <w:rsid w:val="007117FB"/>
    <w:rsid w:val="007135E5"/>
    <w:rsid w:val="0071373A"/>
    <w:rsid w:val="00713FB5"/>
    <w:rsid w:val="00714526"/>
    <w:rsid w:val="00714A28"/>
    <w:rsid w:val="007152EC"/>
    <w:rsid w:val="007166A0"/>
    <w:rsid w:val="00716C34"/>
    <w:rsid w:val="00716DA0"/>
    <w:rsid w:val="00716FAE"/>
    <w:rsid w:val="007172E8"/>
    <w:rsid w:val="00717AA8"/>
    <w:rsid w:val="00717AF7"/>
    <w:rsid w:val="00717FCE"/>
    <w:rsid w:val="00720698"/>
    <w:rsid w:val="00720C77"/>
    <w:rsid w:val="007216B2"/>
    <w:rsid w:val="0072196D"/>
    <w:rsid w:val="00721C60"/>
    <w:rsid w:val="00721DFE"/>
    <w:rsid w:val="00724809"/>
    <w:rsid w:val="00724D2F"/>
    <w:rsid w:val="00724DEA"/>
    <w:rsid w:val="00725099"/>
    <w:rsid w:val="00726583"/>
    <w:rsid w:val="00726849"/>
    <w:rsid w:val="00726CF0"/>
    <w:rsid w:val="00727EAD"/>
    <w:rsid w:val="007300D4"/>
    <w:rsid w:val="007302C7"/>
    <w:rsid w:val="007308CC"/>
    <w:rsid w:val="0073099C"/>
    <w:rsid w:val="00730D58"/>
    <w:rsid w:val="00731DC8"/>
    <w:rsid w:val="0073253B"/>
    <w:rsid w:val="0073369F"/>
    <w:rsid w:val="00733FB8"/>
    <w:rsid w:val="00734006"/>
    <w:rsid w:val="00736012"/>
    <w:rsid w:val="0073621C"/>
    <w:rsid w:val="00736AB9"/>
    <w:rsid w:val="00737D26"/>
    <w:rsid w:val="00741D2E"/>
    <w:rsid w:val="00742A42"/>
    <w:rsid w:val="00743962"/>
    <w:rsid w:val="00743D12"/>
    <w:rsid w:val="0074406F"/>
    <w:rsid w:val="00744DAC"/>
    <w:rsid w:val="00746461"/>
    <w:rsid w:val="00746D21"/>
    <w:rsid w:val="0074791F"/>
    <w:rsid w:val="00753794"/>
    <w:rsid w:val="0075579D"/>
    <w:rsid w:val="00756AF4"/>
    <w:rsid w:val="00756D1A"/>
    <w:rsid w:val="00757526"/>
    <w:rsid w:val="00760D4E"/>
    <w:rsid w:val="00763C57"/>
    <w:rsid w:val="00764045"/>
    <w:rsid w:val="0076449E"/>
    <w:rsid w:val="007645F7"/>
    <w:rsid w:val="00765C8F"/>
    <w:rsid w:val="0076667A"/>
    <w:rsid w:val="00766EF2"/>
    <w:rsid w:val="0077011A"/>
    <w:rsid w:val="00770D66"/>
    <w:rsid w:val="00770E00"/>
    <w:rsid w:val="007711F6"/>
    <w:rsid w:val="00773B6A"/>
    <w:rsid w:val="00775AC1"/>
    <w:rsid w:val="0077649F"/>
    <w:rsid w:val="00776D38"/>
    <w:rsid w:val="00776D95"/>
    <w:rsid w:val="00777E04"/>
    <w:rsid w:val="00777ED4"/>
    <w:rsid w:val="00777F20"/>
    <w:rsid w:val="007809E3"/>
    <w:rsid w:val="00780E8A"/>
    <w:rsid w:val="007816A4"/>
    <w:rsid w:val="00781B6B"/>
    <w:rsid w:val="00782AC0"/>
    <w:rsid w:val="00782E63"/>
    <w:rsid w:val="007835A9"/>
    <w:rsid w:val="00783935"/>
    <w:rsid w:val="00783A2D"/>
    <w:rsid w:val="00786809"/>
    <w:rsid w:val="00786CB6"/>
    <w:rsid w:val="0078722B"/>
    <w:rsid w:val="0078745F"/>
    <w:rsid w:val="00787C73"/>
    <w:rsid w:val="00787E2E"/>
    <w:rsid w:val="00787E75"/>
    <w:rsid w:val="00790736"/>
    <w:rsid w:val="00790892"/>
    <w:rsid w:val="00792739"/>
    <w:rsid w:val="00792929"/>
    <w:rsid w:val="00792EC1"/>
    <w:rsid w:val="007935B0"/>
    <w:rsid w:val="00793F20"/>
    <w:rsid w:val="007941E1"/>
    <w:rsid w:val="00795B78"/>
    <w:rsid w:val="0079623A"/>
    <w:rsid w:val="00796D34"/>
    <w:rsid w:val="0079763C"/>
    <w:rsid w:val="007A07EE"/>
    <w:rsid w:val="007A1B9F"/>
    <w:rsid w:val="007A20BC"/>
    <w:rsid w:val="007A21F5"/>
    <w:rsid w:val="007A262C"/>
    <w:rsid w:val="007A27A9"/>
    <w:rsid w:val="007A38C5"/>
    <w:rsid w:val="007A3F55"/>
    <w:rsid w:val="007A45D1"/>
    <w:rsid w:val="007A53E0"/>
    <w:rsid w:val="007A5B97"/>
    <w:rsid w:val="007A6565"/>
    <w:rsid w:val="007A67C9"/>
    <w:rsid w:val="007A6DBF"/>
    <w:rsid w:val="007A7C4A"/>
    <w:rsid w:val="007A7CB3"/>
    <w:rsid w:val="007A7ED8"/>
    <w:rsid w:val="007B16C1"/>
    <w:rsid w:val="007B1BBE"/>
    <w:rsid w:val="007B1CFA"/>
    <w:rsid w:val="007B2235"/>
    <w:rsid w:val="007B25D2"/>
    <w:rsid w:val="007B315B"/>
    <w:rsid w:val="007B3B33"/>
    <w:rsid w:val="007B5026"/>
    <w:rsid w:val="007B5253"/>
    <w:rsid w:val="007B57EB"/>
    <w:rsid w:val="007C134B"/>
    <w:rsid w:val="007C1460"/>
    <w:rsid w:val="007C2210"/>
    <w:rsid w:val="007C2BE6"/>
    <w:rsid w:val="007C346A"/>
    <w:rsid w:val="007C72BA"/>
    <w:rsid w:val="007D0568"/>
    <w:rsid w:val="007D10BB"/>
    <w:rsid w:val="007D1D02"/>
    <w:rsid w:val="007D2505"/>
    <w:rsid w:val="007D364D"/>
    <w:rsid w:val="007D4FD9"/>
    <w:rsid w:val="007D60B6"/>
    <w:rsid w:val="007D6970"/>
    <w:rsid w:val="007D6B8C"/>
    <w:rsid w:val="007E05B9"/>
    <w:rsid w:val="007E1B95"/>
    <w:rsid w:val="007E2165"/>
    <w:rsid w:val="007E3FE0"/>
    <w:rsid w:val="007E699A"/>
    <w:rsid w:val="007F0B6A"/>
    <w:rsid w:val="007F2071"/>
    <w:rsid w:val="007F2511"/>
    <w:rsid w:val="007F2BE4"/>
    <w:rsid w:val="007F35B1"/>
    <w:rsid w:val="007F3B69"/>
    <w:rsid w:val="007F5F37"/>
    <w:rsid w:val="00800648"/>
    <w:rsid w:val="008013BE"/>
    <w:rsid w:val="008040D8"/>
    <w:rsid w:val="008040F8"/>
    <w:rsid w:val="008055F0"/>
    <w:rsid w:val="00806731"/>
    <w:rsid w:val="00810099"/>
    <w:rsid w:val="008102E9"/>
    <w:rsid w:val="008107A5"/>
    <w:rsid w:val="00810AFA"/>
    <w:rsid w:val="00811AA1"/>
    <w:rsid w:val="0081261E"/>
    <w:rsid w:val="008129F3"/>
    <w:rsid w:val="008136F8"/>
    <w:rsid w:val="00814212"/>
    <w:rsid w:val="008149BD"/>
    <w:rsid w:val="00815649"/>
    <w:rsid w:val="008162DD"/>
    <w:rsid w:val="00816CBE"/>
    <w:rsid w:val="0082099F"/>
    <w:rsid w:val="00820B0C"/>
    <w:rsid w:val="0082185A"/>
    <w:rsid w:val="0082334F"/>
    <w:rsid w:val="00823717"/>
    <w:rsid w:val="00824851"/>
    <w:rsid w:val="00824AA4"/>
    <w:rsid w:val="0082604D"/>
    <w:rsid w:val="008262B5"/>
    <w:rsid w:val="00826881"/>
    <w:rsid w:val="00826D6E"/>
    <w:rsid w:val="00830CB0"/>
    <w:rsid w:val="00830D18"/>
    <w:rsid w:val="008310E5"/>
    <w:rsid w:val="008313DB"/>
    <w:rsid w:val="00833F5E"/>
    <w:rsid w:val="00834536"/>
    <w:rsid w:val="00834A8A"/>
    <w:rsid w:val="008365B9"/>
    <w:rsid w:val="00836C98"/>
    <w:rsid w:val="00836E22"/>
    <w:rsid w:val="0083781F"/>
    <w:rsid w:val="00837ACD"/>
    <w:rsid w:val="00837E58"/>
    <w:rsid w:val="00840902"/>
    <w:rsid w:val="0084274D"/>
    <w:rsid w:val="0084290C"/>
    <w:rsid w:val="00842BEB"/>
    <w:rsid w:val="0084314E"/>
    <w:rsid w:val="00844E01"/>
    <w:rsid w:val="00844EA4"/>
    <w:rsid w:val="00845AAB"/>
    <w:rsid w:val="00846FCA"/>
    <w:rsid w:val="0085037D"/>
    <w:rsid w:val="008508B1"/>
    <w:rsid w:val="00850CCC"/>
    <w:rsid w:val="00850DA2"/>
    <w:rsid w:val="00851654"/>
    <w:rsid w:val="00851F14"/>
    <w:rsid w:val="008524A8"/>
    <w:rsid w:val="00852F2E"/>
    <w:rsid w:val="00853180"/>
    <w:rsid w:val="008543AD"/>
    <w:rsid w:val="00855B67"/>
    <w:rsid w:val="00855FBC"/>
    <w:rsid w:val="008560C6"/>
    <w:rsid w:val="0085646A"/>
    <w:rsid w:val="00861163"/>
    <w:rsid w:val="008630CC"/>
    <w:rsid w:val="00864C5B"/>
    <w:rsid w:val="00865298"/>
    <w:rsid w:val="0086540F"/>
    <w:rsid w:val="008678F5"/>
    <w:rsid w:val="00870D3B"/>
    <w:rsid w:val="0087241E"/>
    <w:rsid w:val="0087494B"/>
    <w:rsid w:val="008752EE"/>
    <w:rsid w:val="008754B3"/>
    <w:rsid w:val="00875D9B"/>
    <w:rsid w:val="00876D69"/>
    <w:rsid w:val="00877039"/>
    <w:rsid w:val="00877390"/>
    <w:rsid w:val="008779D3"/>
    <w:rsid w:val="00877ABD"/>
    <w:rsid w:val="00880163"/>
    <w:rsid w:val="008804AB"/>
    <w:rsid w:val="00880C4B"/>
    <w:rsid w:val="00881B37"/>
    <w:rsid w:val="00882D3A"/>
    <w:rsid w:val="008843BF"/>
    <w:rsid w:val="008845FB"/>
    <w:rsid w:val="00884807"/>
    <w:rsid w:val="00884CE2"/>
    <w:rsid w:val="00885688"/>
    <w:rsid w:val="00886214"/>
    <w:rsid w:val="00886FF8"/>
    <w:rsid w:val="0088751B"/>
    <w:rsid w:val="0088794D"/>
    <w:rsid w:val="0089031B"/>
    <w:rsid w:val="00890714"/>
    <w:rsid w:val="00890C13"/>
    <w:rsid w:val="00892EA8"/>
    <w:rsid w:val="0089332D"/>
    <w:rsid w:val="008933F5"/>
    <w:rsid w:val="008935EE"/>
    <w:rsid w:val="0089368A"/>
    <w:rsid w:val="00893B46"/>
    <w:rsid w:val="00893D47"/>
    <w:rsid w:val="0089559C"/>
    <w:rsid w:val="00895A71"/>
    <w:rsid w:val="00895F0C"/>
    <w:rsid w:val="00896348"/>
    <w:rsid w:val="0089729D"/>
    <w:rsid w:val="008A043C"/>
    <w:rsid w:val="008A08EE"/>
    <w:rsid w:val="008A0F3D"/>
    <w:rsid w:val="008A15AE"/>
    <w:rsid w:val="008A190A"/>
    <w:rsid w:val="008A1B39"/>
    <w:rsid w:val="008A282D"/>
    <w:rsid w:val="008A2B20"/>
    <w:rsid w:val="008A3268"/>
    <w:rsid w:val="008A3D14"/>
    <w:rsid w:val="008A5992"/>
    <w:rsid w:val="008A5D38"/>
    <w:rsid w:val="008A7532"/>
    <w:rsid w:val="008A7941"/>
    <w:rsid w:val="008B0594"/>
    <w:rsid w:val="008B0A74"/>
    <w:rsid w:val="008B0F0B"/>
    <w:rsid w:val="008B12DC"/>
    <w:rsid w:val="008B146A"/>
    <w:rsid w:val="008B1D2D"/>
    <w:rsid w:val="008B2886"/>
    <w:rsid w:val="008B2A74"/>
    <w:rsid w:val="008B3DAE"/>
    <w:rsid w:val="008B4356"/>
    <w:rsid w:val="008B507D"/>
    <w:rsid w:val="008B5376"/>
    <w:rsid w:val="008B5606"/>
    <w:rsid w:val="008B6A77"/>
    <w:rsid w:val="008B6BEF"/>
    <w:rsid w:val="008B7BB6"/>
    <w:rsid w:val="008B7FA2"/>
    <w:rsid w:val="008C352B"/>
    <w:rsid w:val="008C4BB5"/>
    <w:rsid w:val="008C565C"/>
    <w:rsid w:val="008C5CB8"/>
    <w:rsid w:val="008C6CE6"/>
    <w:rsid w:val="008D1837"/>
    <w:rsid w:val="008D31F1"/>
    <w:rsid w:val="008D3B52"/>
    <w:rsid w:val="008D44AB"/>
    <w:rsid w:val="008D5E2A"/>
    <w:rsid w:val="008D693F"/>
    <w:rsid w:val="008D7D22"/>
    <w:rsid w:val="008E0124"/>
    <w:rsid w:val="008E0160"/>
    <w:rsid w:val="008E0527"/>
    <w:rsid w:val="008E1D18"/>
    <w:rsid w:val="008E1FC3"/>
    <w:rsid w:val="008E31FD"/>
    <w:rsid w:val="008E404E"/>
    <w:rsid w:val="008E483A"/>
    <w:rsid w:val="008E516D"/>
    <w:rsid w:val="008E546A"/>
    <w:rsid w:val="008E54B7"/>
    <w:rsid w:val="008E577D"/>
    <w:rsid w:val="008E65DD"/>
    <w:rsid w:val="008E6D6A"/>
    <w:rsid w:val="008F047D"/>
    <w:rsid w:val="008F10DE"/>
    <w:rsid w:val="008F2596"/>
    <w:rsid w:val="008F2B84"/>
    <w:rsid w:val="008F2BFB"/>
    <w:rsid w:val="008F4970"/>
    <w:rsid w:val="008F4D2B"/>
    <w:rsid w:val="008F5A3C"/>
    <w:rsid w:val="008F68D5"/>
    <w:rsid w:val="008F73B2"/>
    <w:rsid w:val="009009EC"/>
    <w:rsid w:val="00902F5C"/>
    <w:rsid w:val="009042C3"/>
    <w:rsid w:val="009043D3"/>
    <w:rsid w:val="00904F41"/>
    <w:rsid w:val="009060B1"/>
    <w:rsid w:val="00906C4E"/>
    <w:rsid w:val="00907EBD"/>
    <w:rsid w:val="009109B1"/>
    <w:rsid w:val="0091109A"/>
    <w:rsid w:val="0091121A"/>
    <w:rsid w:val="0091141D"/>
    <w:rsid w:val="00912F0D"/>
    <w:rsid w:val="00912F92"/>
    <w:rsid w:val="009132D9"/>
    <w:rsid w:val="00913558"/>
    <w:rsid w:val="009138F8"/>
    <w:rsid w:val="00914975"/>
    <w:rsid w:val="00915105"/>
    <w:rsid w:val="00915BB5"/>
    <w:rsid w:val="00915F54"/>
    <w:rsid w:val="009163D0"/>
    <w:rsid w:val="0091767E"/>
    <w:rsid w:val="00920062"/>
    <w:rsid w:val="00920DEA"/>
    <w:rsid w:val="00921139"/>
    <w:rsid w:val="009230D0"/>
    <w:rsid w:val="0092569C"/>
    <w:rsid w:val="0092589E"/>
    <w:rsid w:val="009268F1"/>
    <w:rsid w:val="00926C55"/>
    <w:rsid w:val="009270C7"/>
    <w:rsid w:val="009274BD"/>
    <w:rsid w:val="00927712"/>
    <w:rsid w:val="00930146"/>
    <w:rsid w:val="00930718"/>
    <w:rsid w:val="009309C6"/>
    <w:rsid w:val="00930FE6"/>
    <w:rsid w:val="00931C43"/>
    <w:rsid w:val="009325DE"/>
    <w:rsid w:val="00932DED"/>
    <w:rsid w:val="00933014"/>
    <w:rsid w:val="00933356"/>
    <w:rsid w:val="009338E8"/>
    <w:rsid w:val="009343F5"/>
    <w:rsid w:val="009350B6"/>
    <w:rsid w:val="009357E0"/>
    <w:rsid w:val="009363F0"/>
    <w:rsid w:val="00936A0F"/>
    <w:rsid w:val="00936C71"/>
    <w:rsid w:val="00937C58"/>
    <w:rsid w:val="00937FE1"/>
    <w:rsid w:val="0094178A"/>
    <w:rsid w:val="009428A6"/>
    <w:rsid w:val="00942932"/>
    <w:rsid w:val="00942F71"/>
    <w:rsid w:val="009436A9"/>
    <w:rsid w:val="009442A3"/>
    <w:rsid w:val="00946BEC"/>
    <w:rsid w:val="00946E30"/>
    <w:rsid w:val="0095222F"/>
    <w:rsid w:val="0095383B"/>
    <w:rsid w:val="009550C6"/>
    <w:rsid w:val="00957161"/>
    <w:rsid w:val="009573DE"/>
    <w:rsid w:val="00957423"/>
    <w:rsid w:val="00960245"/>
    <w:rsid w:val="009619CE"/>
    <w:rsid w:val="009622D6"/>
    <w:rsid w:val="009626FC"/>
    <w:rsid w:val="00962DCD"/>
    <w:rsid w:val="00963407"/>
    <w:rsid w:val="0096441B"/>
    <w:rsid w:val="0096513D"/>
    <w:rsid w:val="00965E41"/>
    <w:rsid w:val="00966D08"/>
    <w:rsid w:val="00970003"/>
    <w:rsid w:val="00972280"/>
    <w:rsid w:val="00972604"/>
    <w:rsid w:val="009732B9"/>
    <w:rsid w:val="0097363D"/>
    <w:rsid w:val="00973700"/>
    <w:rsid w:val="00973C45"/>
    <w:rsid w:val="00974A6B"/>
    <w:rsid w:val="00975F64"/>
    <w:rsid w:val="00976544"/>
    <w:rsid w:val="00976986"/>
    <w:rsid w:val="00977E7D"/>
    <w:rsid w:val="00977EB8"/>
    <w:rsid w:val="00980C32"/>
    <w:rsid w:val="00980E06"/>
    <w:rsid w:val="00982368"/>
    <w:rsid w:val="00982972"/>
    <w:rsid w:val="00982DFA"/>
    <w:rsid w:val="0098397A"/>
    <w:rsid w:val="00983F9A"/>
    <w:rsid w:val="00985607"/>
    <w:rsid w:val="0098709B"/>
    <w:rsid w:val="00987FA4"/>
    <w:rsid w:val="009905EB"/>
    <w:rsid w:val="009941D1"/>
    <w:rsid w:val="00994827"/>
    <w:rsid w:val="00995891"/>
    <w:rsid w:val="009965AC"/>
    <w:rsid w:val="009967D0"/>
    <w:rsid w:val="00997FF1"/>
    <w:rsid w:val="009A0C9D"/>
    <w:rsid w:val="009A10B2"/>
    <w:rsid w:val="009A10FC"/>
    <w:rsid w:val="009A1ABF"/>
    <w:rsid w:val="009A3102"/>
    <w:rsid w:val="009A3E9A"/>
    <w:rsid w:val="009A64E1"/>
    <w:rsid w:val="009A66F1"/>
    <w:rsid w:val="009A7C12"/>
    <w:rsid w:val="009B01D2"/>
    <w:rsid w:val="009B0C83"/>
    <w:rsid w:val="009B18DE"/>
    <w:rsid w:val="009B2330"/>
    <w:rsid w:val="009B262B"/>
    <w:rsid w:val="009B2E5D"/>
    <w:rsid w:val="009B361E"/>
    <w:rsid w:val="009B4110"/>
    <w:rsid w:val="009B5FBE"/>
    <w:rsid w:val="009B784C"/>
    <w:rsid w:val="009B7A08"/>
    <w:rsid w:val="009C03BD"/>
    <w:rsid w:val="009C2307"/>
    <w:rsid w:val="009C324C"/>
    <w:rsid w:val="009C4152"/>
    <w:rsid w:val="009C4401"/>
    <w:rsid w:val="009C5CBD"/>
    <w:rsid w:val="009C6042"/>
    <w:rsid w:val="009C6693"/>
    <w:rsid w:val="009C7603"/>
    <w:rsid w:val="009D03A8"/>
    <w:rsid w:val="009D0BB0"/>
    <w:rsid w:val="009D13BA"/>
    <w:rsid w:val="009D147E"/>
    <w:rsid w:val="009D1A39"/>
    <w:rsid w:val="009D1D12"/>
    <w:rsid w:val="009D2581"/>
    <w:rsid w:val="009D265A"/>
    <w:rsid w:val="009D2F39"/>
    <w:rsid w:val="009D4795"/>
    <w:rsid w:val="009D4C0F"/>
    <w:rsid w:val="009D4F94"/>
    <w:rsid w:val="009D5551"/>
    <w:rsid w:val="009D7A65"/>
    <w:rsid w:val="009E0224"/>
    <w:rsid w:val="009E0B59"/>
    <w:rsid w:val="009E17C1"/>
    <w:rsid w:val="009E1FEB"/>
    <w:rsid w:val="009E355F"/>
    <w:rsid w:val="009E4840"/>
    <w:rsid w:val="009E4E18"/>
    <w:rsid w:val="009F0CCD"/>
    <w:rsid w:val="009F0CFF"/>
    <w:rsid w:val="009F18D9"/>
    <w:rsid w:val="009F1ED1"/>
    <w:rsid w:val="009F220D"/>
    <w:rsid w:val="009F288E"/>
    <w:rsid w:val="009F408B"/>
    <w:rsid w:val="009F45F7"/>
    <w:rsid w:val="009F4F31"/>
    <w:rsid w:val="009F5C37"/>
    <w:rsid w:val="009F6244"/>
    <w:rsid w:val="009F7731"/>
    <w:rsid w:val="009F78AC"/>
    <w:rsid w:val="009F7CF2"/>
    <w:rsid w:val="009F7EFA"/>
    <w:rsid w:val="00A01027"/>
    <w:rsid w:val="00A028B7"/>
    <w:rsid w:val="00A02D88"/>
    <w:rsid w:val="00A0469D"/>
    <w:rsid w:val="00A04DD9"/>
    <w:rsid w:val="00A057EF"/>
    <w:rsid w:val="00A05D5B"/>
    <w:rsid w:val="00A0628C"/>
    <w:rsid w:val="00A100B9"/>
    <w:rsid w:val="00A124AC"/>
    <w:rsid w:val="00A14075"/>
    <w:rsid w:val="00A14F24"/>
    <w:rsid w:val="00A15B14"/>
    <w:rsid w:val="00A15E6D"/>
    <w:rsid w:val="00A160C0"/>
    <w:rsid w:val="00A164E7"/>
    <w:rsid w:val="00A1692A"/>
    <w:rsid w:val="00A16C5E"/>
    <w:rsid w:val="00A206B6"/>
    <w:rsid w:val="00A20DCB"/>
    <w:rsid w:val="00A2100D"/>
    <w:rsid w:val="00A23A3B"/>
    <w:rsid w:val="00A23B27"/>
    <w:rsid w:val="00A2601E"/>
    <w:rsid w:val="00A2695E"/>
    <w:rsid w:val="00A26C22"/>
    <w:rsid w:val="00A2775F"/>
    <w:rsid w:val="00A2776C"/>
    <w:rsid w:val="00A30C7A"/>
    <w:rsid w:val="00A30CAD"/>
    <w:rsid w:val="00A31E3D"/>
    <w:rsid w:val="00A31EAC"/>
    <w:rsid w:val="00A31FD8"/>
    <w:rsid w:val="00A32272"/>
    <w:rsid w:val="00A32692"/>
    <w:rsid w:val="00A34FB8"/>
    <w:rsid w:val="00A412BA"/>
    <w:rsid w:val="00A41511"/>
    <w:rsid w:val="00A4152A"/>
    <w:rsid w:val="00A41DBB"/>
    <w:rsid w:val="00A41E1C"/>
    <w:rsid w:val="00A4259A"/>
    <w:rsid w:val="00A42DAF"/>
    <w:rsid w:val="00A43CA7"/>
    <w:rsid w:val="00A44B93"/>
    <w:rsid w:val="00A45460"/>
    <w:rsid w:val="00A460A5"/>
    <w:rsid w:val="00A47462"/>
    <w:rsid w:val="00A502E6"/>
    <w:rsid w:val="00A50418"/>
    <w:rsid w:val="00A512C5"/>
    <w:rsid w:val="00A51349"/>
    <w:rsid w:val="00A51782"/>
    <w:rsid w:val="00A52736"/>
    <w:rsid w:val="00A52AA1"/>
    <w:rsid w:val="00A52D07"/>
    <w:rsid w:val="00A54F5D"/>
    <w:rsid w:val="00A556B8"/>
    <w:rsid w:val="00A5781C"/>
    <w:rsid w:val="00A57D3A"/>
    <w:rsid w:val="00A634B2"/>
    <w:rsid w:val="00A634D0"/>
    <w:rsid w:val="00A63703"/>
    <w:rsid w:val="00A639A7"/>
    <w:rsid w:val="00A6588A"/>
    <w:rsid w:val="00A659D3"/>
    <w:rsid w:val="00A65BA8"/>
    <w:rsid w:val="00A6726B"/>
    <w:rsid w:val="00A67FF2"/>
    <w:rsid w:val="00A71948"/>
    <w:rsid w:val="00A726E3"/>
    <w:rsid w:val="00A73FA2"/>
    <w:rsid w:val="00A7429C"/>
    <w:rsid w:val="00A75FD5"/>
    <w:rsid w:val="00A76066"/>
    <w:rsid w:val="00A76280"/>
    <w:rsid w:val="00A76502"/>
    <w:rsid w:val="00A76B64"/>
    <w:rsid w:val="00A80AC4"/>
    <w:rsid w:val="00A81BF6"/>
    <w:rsid w:val="00A829A5"/>
    <w:rsid w:val="00A8545F"/>
    <w:rsid w:val="00A86269"/>
    <w:rsid w:val="00A90DE4"/>
    <w:rsid w:val="00A9175B"/>
    <w:rsid w:val="00A91AD1"/>
    <w:rsid w:val="00A92141"/>
    <w:rsid w:val="00A92D2F"/>
    <w:rsid w:val="00A9379D"/>
    <w:rsid w:val="00A93881"/>
    <w:rsid w:val="00A94068"/>
    <w:rsid w:val="00A9461B"/>
    <w:rsid w:val="00A94B9F"/>
    <w:rsid w:val="00A94D43"/>
    <w:rsid w:val="00A94DB6"/>
    <w:rsid w:val="00A96A2A"/>
    <w:rsid w:val="00A97836"/>
    <w:rsid w:val="00A97D3F"/>
    <w:rsid w:val="00AA2B23"/>
    <w:rsid w:val="00AA371D"/>
    <w:rsid w:val="00AA3D4A"/>
    <w:rsid w:val="00AA4F75"/>
    <w:rsid w:val="00AA6786"/>
    <w:rsid w:val="00AA71FF"/>
    <w:rsid w:val="00AB00A3"/>
    <w:rsid w:val="00AB0817"/>
    <w:rsid w:val="00AB17D5"/>
    <w:rsid w:val="00AB1ADD"/>
    <w:rsid w:val="00AB1D7D"/>
    <w:rsid w:val="00AB31AF"/>
    <w:rsid w:val="00AB37A0"/>
    <w:rsid w:val="00AB3A8C"/>
    <w:rsid w:val="00AB4220"/>
    <w:rsid w:val="00AB4B30"/>
    <w:rsid w:val="00AB5C73"/>
    <w:rsid w:val="00AB7179"/>
    <w:rsid w:val="00AB71D3"/>
    <w:rsid w:val="00AB7256"/>
    <w:rsid w:val="00AB7ECB"/>
    <w:rsid w:val="00AC0CD8"/>
    <w:rsid w:val="00AC3C0A"/>
    <w:rsid w:val="00AC4A13"/>
    <w:rsid w:val="00AC4E02"/>
    <w:rsid w:val="00AC4E98"/>
    <w:rsid w:val="00AD0B36"/>
    <w:rsid w:val="00AD0C34"/>
    <w:rsid w:val="00AD29BA"/>
    <w:rsid w:val="00AD3194"/>
    <w:rsid w:val="00AD3C5A"/>
    <w:rsid w:val="00AD4099"/>
    <w:rsid w:val="00AD44C3"/>
    <w:rsid w:val="00AD5891"/>
    <w:rsid w:val="00AD773E"/>
    <w:rsid w:val="00AD78EF"/>
    <w:rsid w:val="00AE049A"/>
    <w:rsid w:val="00AE3BD7"/>
    <w:rsid w:val="00AE3DEE"/>
    <w:rsid w:val="00AE3E30"/>
    <w:rsid w:val="00AE5623"/>
    <w:rsid w:val="00AE63D4"/>
    <w:rsid w:val="00AE71C1"/>
    <w:rsid w:val="00AE74A6"/>
    <w:rsid w:val="00AE7563"/>
    <w:rsid w:val="00AF00E3"/>
    <w:rsid w:val="00AF02B9"/>
    <w:rsid w:val="00AF0630"/>
    <w:rsid w:val="00AF1055"/>
    <w:rsid w:val="00AF1203"/>
    <w:rsid w:val="00AF1233"/>
    <w:rsid w:val="00AF19E3"/>
    <w:rsid w:val="00AF2887"/>
    <w:rsid w:val="00AF29DE"/>
    <w:rsid w:val="00AF3F9F"/>
    <w:rsid w:val="00B005A2"/>
    <w:rsid w:val="00B0095C"/>
    <w:rsid w:val="00B027AC"/>
    <w:rsid w:val="00B02E27"/>
    <w:rsid w:val="00B02F94"/>
    <w:rsid w:val="00B037BF"/>
    <w:rsid w:val="00B03E52"/>
    <w:rsid w:val="00B03F15"/>
    <w:rsid w:val="00B056C9"/>
    <w:rsid w:val="00B057DE"/>
    <w:rsid w:val="00B059CE"/>
    <w:rsid w:val="00B06768"/>
    <w:rsid w:val="00B06775"/>
    <w:rsid w:val="00B06BBB"/>
    <w:rsid w:val="00B07F3F"/>
    <w:rsid w:val="00B109B8"/>
    <w:rsid w:val="00B1118F"/>
    <w:rsid w:val="00B11E12"/>
    <w:rsid w:val="00B123E3"/>
    <w:rsid w:val="00B1358B"/>
    <w:rsid w:val="00B14038"/>
    <w:rsid w:val="00B14A98"/>
    <w:rsid w:val="00B14B40"/>
    <w:rsid w:val="00B1594C"/>
    <w:rsid w:val="00B15E9E"/>
    <w:rsid w:val="00B16D13"/>
    <w:rsid w:val="00B16DFD"/>
    <w:rsid w:val="00B17B92"/>
    <w:rsid w:val="00B17E67"/>
    <w:rsid w:val="00B20469"/>
    <w:rsid w:val="00B20596"/>
    <w:rsid w:val="00B2108C"/>
    <w:rsid w:val="00B2260E"/>
    <w:rsid w:val="00B22C2B"/>
    <w:rsid w:val="00B239A9"/>
    <w:rsid w:val="00B23C6B"/>
    <w:rsid w:val="00B254CA"/>
    <w:rsid w:val="00B2705C"/>
    <w:rsid w:val="00B2751C"/>
    <w:rsid w:val="00B27CD4"/>
    <w:rsid w:val="00B27F5E"/>
    <w:rsid w:val="00B3001A"/>
    <w:rsid w:val="00B30773"/>
    <w:rsid w:val="00B318AF"/>
    <w:rsid w:val="00B318DE"/>
    <w:rsid w:val="00B343F3"/>
    <w:rsid w:val="00B34862"/>
    <w:rsid w:val="00B348AA"/>
    <w:rsid w:val="00B35800"/>
    <w:rsid w:val="00B35A65"/>
    <w:rsid w:val="00B35E23"/>
    <w:rsid w:val="00B36D6D"/>
    <w:rsid w:val="00B413F8"/>
    <w:rsid w:val="00B41ED9"/>
    <w:rsid w:val="00B4218D"/>
    <w:rsid w:val="00B432DD"/>
    <w:rsid w:val="00B44225"/>
    <w:rsid w:val="00B444B3"/>
    <w:rsid w:val="00B46887"/>
    <w:rsid w:val="00B468BD"/>
    <w:rsid w:val="00B46C1F"/>
    <w:rsid w:val="00B472FB"/>
    <w:rsid w:val="00B4779E"/>
    <w:rsid w:val="00B50331"/>
    <w:rsid w:val="00B529D8"/>
    <w:rsid w:val="00B52B53"/>
    <w:rsid w:val="00B52D17"/>
    <w:rsid w:val="00B53003"/>
    <w:rsid w:val="00B531F3"/>
    <w:rsid w:val="00B5499A"/>
    <w:rsid w:val="00B55384"/>
    <w:rsid w:val="00B5556B"/>
    <w:rsid w:val="00B57EB6"/>
    <w:rsid w:val="00B60BAF"/>
    <w:rsid w:val="00B636F5"/>
    <w:rsid w:val="00B63A58"/>
    <w:rsid w:val="00B63E59"/>
    <w:rsid w:val="00B63F3F"/>
    <w:rsid w:val="00B640A2"/>
    <w:rsid w:val="00B644DC"/>
    <w:rsid w:val="00B64599"/>
    <w:rsid w:val="00B676A6"/>
    <w:rsid w:val="00B67E71"/>
    <w:rsid w:val="00B7095E"/>
    <w:rsid w:val="00B72AAB"/>
    <w:rsid w:val="00B7370A"/>
    <w:rsid w:val="00B73822"/>
    <w:rsid w:val="00B76584"/>
    <w:rsid w:val="00B767F2"/>
    <w:rsid w:val="00B81727"/>
    <w:rsid w:val="00B81D79"/>
    <w:rsid w:val="00B8300A"/>
    <w:rsid w:val="00B83894"/>
    <w:rsid w:val="00B838B9"/>
    <w:rsid w:val="00B85592"/>
    <w:rsid w:val="00B864CC"/>
    <w:rsid w:val="00B86990"/>
    <w:rsid w:val="00B86B4E"/>
    <w:rsid w:val="00B86D89"/>
    <w:rsid w:val="00B86DE3"/>
    <w:rsid w:val="00B875EF"/>
    <w:rsid w:val="00B87836"/>
    <w:rsid w:val="00B907E6"/>
    <w:rsid w:val="00B91141"/>
    <w:rsid w:val="00B92074"/>
    <w:rsid w:val="00B92A84"/>
    <w:rsid w:val="00B94023"/>
    <w:rsid w:val="00B942E1"/>
    <w:rsid w:val="00B9452B"/>
    <w:rsid w:val="00B94D28"/>
    <w:rsid w:val="00B94FC5"/>
    <w:rsid w:val="00B9519E"/>
    <w:rsid w:val="00B95459"/>
    <w:rsid w:val="00B95A93"/>
    <w:rsid w:val="00B966D8"/>
    <w:rsid w:val="00B96B13"/>
    <w:rsid w:val="00B97C25"/>
    <w:rsid w:val="00BA1274"/>
    <w:rsid w:val="00BA240B"/>
    <w:rsid w:val="00BA295A"/>
    <w:rsid w:val="00BA3D33"/>
    <w:rsid w:val="00BA7B4C"/>
    <w:rsid w:val="00BA7BD4"/>
    <w:rsid w:val="00BA7E0B"/>
    <w:rsid w:val="00BB2502"/>
    <w:rsid w:val="00BB4EB9"/>
    <w:rsid w:val="00BB4ECA"/>
    <w:rsid w:val="00BB52F9"/>
    <w:rsid w:val="00BB53FC"/>
    <w:rsid w:val="00BB5706"/>
    <w:rsid w:val="00BB5CD5"/>
    <w:rsid w:val="00BB7FC9"/>
    <w:rsid w:val="00BC0111"/>
    <w:rsid w:val="00BC0122"/>
    <w:rsid w:val="00BC1E25"/>
    <w:rsid w:val="00BC2D5C"/>
    <w:rsid w:val="00BC3953"/>
    <w:rsid w:val="00BC3EE5"/>
    <w:rsid w:val="00BC6429"/>
    <w:rsid w:val="00BC6E53"/>
    <w:rsid w:val="00BC73E6"/>
    <w:rsid w:val="00BC73FE"/>
    <w:rsid w:val="00BC76A4"/>
    <w:rsid w:val="00BC7D88"/>
    <w:rsid w:val="00BD0D2C"/>
    <w:rsid w:val="00BD36BB"/>
    <w:rsid w:val="00BD56BA"/>
    <w:rsid w:val="00BD6685"/>
    <w:rsid w:val="00BD67D4"/>
    <w:rsid w:val="00BD776E"/>
    <w:rsid w:val="00BD7C09"/>
    <w:rsid w:val="00BE062F"/>
    <w:rsid w:val="00BE0D81"/>
    <w:rsid w:val="00BE190D"/>
    <w:rsid w:val="00BE2FD6"/>
    <w:rsid w:val="00BE389A"/>
    <w:rsid w:val="00BE4801"/>
    <w:rsid w:val="00BE60D3"/>
    <w:rsid w:val="00BE6289"/>
    <w:rsid w:val="00BE7373"/>
    <w:rsid w:val="00BF0763"/>
    <w:rsid w:val="00BF0D31"/>
    <w:rsid w:val="00BF1DDC"/>
    <w:rsid w:val="00BF24B6"/>
    <w:rsid w:val="00BF3C2E"/>
    <w:rsid w:val="00BF3DA0"/>
    <w:rsid w:val="00BF567B"/>
    <w:rsid w:val="00BF5AE4"/>
    <w:rsid w:val="00BF6A90"/>
    <w:rsid w:val="00BF6EEF"/>
    <w:rsid w:val="00BF7791"/>
    <w:rsid w:val="00BF7DDF"/>
    <w:rsid w:val="00BF7FF0"/>
    <w:rsid w:val="00C00813"/>
    <w:rsid w:val="00C0297B"/>
    <w:rsid w:val="00C02990"/>
    <w:rsid w:val="00C029EF"/>
    <w:rsid w:val="00C02CE5"/>
    <w:rsid w:val="00C03DA4"/>
    <w:rsid w:val="00C04943"/>
    <w:rsid w:val="00C056C2"/>
    <w:rsid w:val="00C05A87"/>
    <w:rsid w:val="00C061AB"/>
    <w:rsid w:val="00C06C00"/>
    <w:rsid w:val="00C07D69"/>
    <w:rsid w:val="00C07E74"/>
    <w:rsid w:val="00C10339"/>
    <w:rsid w:val="00C1074F"/>
    <w:rsid w:val="00C1076D"/>
    <w:rsid w:val="00C109E8"/>
    <w:rsid w:val="00C11FDB"/>
    <w:rsid w:val="00C12DE6"/>
    <w:rsid w:val="00C12FBD"/>
    <w:rsid w:val="00C146B8"/>
    <w:rsid w:val="00C20985"/>
    <w:rsid w:val="00C21CA4"/>
    <w:rsid w:val="00C224F7"/>
    <w:rsid w:val="00C225D9"/>
    <w:rsid w:val="00C22D1D"/>
    <w:rsid w:val="00C231BC"/>
    <w:rsid w:val="00C233F1"/>
    <w:rsid w:val="00C2356B"/>
    <w:rsid w:val="00C23958"/>
    <w:rsid w:val="00C2452F"/>
    <w:rsid w:val="00C24AE1"/>
    <w:rsid w:val="00C24C46"/>
    <w:rsid w:val="00C25498"/>
    <w:rsid w:val="00C25C60"/>
    <w:rsid w:val="00C26075"/>
    <w:rsid w:val="00C26260"/>
    <w:rsid w:val="00C2704C"/>
    <w:rsid w:val="00C27534"/>
    <w:rsid w:val="00C3088C"/>
    <w:rsid w:val="00C312FB"/>
    <w:rsid w:val="00C319CC"/>
    <w:rsid w:val="00C323B3"/>
    <w:rsid w:val="00C32E93"/>
    <w:rsid w:val="00C332C5"/>
    <w:rsid w:val="00C35647"/>
    <w:rsid w:val="00C35955"/>
    <w:rsid w:val="00C36BE6"/>
    <w:rsid w:val="00C418A5"/>
    <w:rsid w:val="00C41D64"/>
    <w:rsid w:val="00C42842"/>
    <w:rsid w:val="00C42F5E"/>
    <w:rsid w:val="00C436EF"/>
    <w:rsid w:val="00C43D33"/>
    <w:rsid w:val="00C444AB"/>
    <w:rsid w:val="00C44760"/>
    <w:rsid w:val="00C45419"/>
    <w:rsid w:val="00C463F4"/>
    <w:rsid w:val="00C46F57"/>
    <w:rsid w:val="00C474A0"/>
    <w:rsid w:val="00C5056A"/>
    <w:rsid w:val="00C50F3B"/>
    <w:rsid w:val="00C51E90"/>
    <w:rsid w:val="00C529FF"/>
    <w:rsid w:val="00C53521"/>
    <w:rsid w:val="00C5360D"/>
    <w:rsid w:val="00C5380A"/>
    <w:rsid w:val="00C550F1"/>
    <w:rsid w:val="00C55707"/>
    <w:rsid w:val="00C557FB"/>
    <w:rsid w:val="00C55BB6"/>
    <w:rsid w:val="00C57B18"/>
    <w:rsid w:val="00C60321"/>
    <w:rsid w:val="00C61E37"/>
    <w:rsid w:val="00C62329"/>
    <w:rsid w:val="00C6254F"/>
    <w:rsid w:val="00C629A6"/>
    <w:rsid w:val="00C62F8D"/>
    <w:rsid w:val="00C641C6"/>
    <w:rsid w:val="00C642D0"/>
    <w:rsid w:val="00C645C9"/>
    <w:rsid w:val="00C661B1"/>
    <w:rsid w:val="00C663C6"/>
    <w:rsid w:val="00C66430"/>
    <w:rsid w:val="00C674E7"/>
    <w:rsid w:val="00C6772A"/>
    <w:rsid w:val="00C677B7"/>
    <w:rsid w:val="00C70E71"/>
    <w:rsid w:val="00C718E6"/>
    <w:rsid w:val="00C71F84"/>
    <w:rsid w:val="00C73BF5"/>
    <w:rsid w:val="00C74C50"/>
    <w:rsid w:val="00C74F28"/>
    <w:rsid w:val="00C7553F"/>
    <w:rsid w:val="00C766A3"/>
    <w:rsid w:val="00C766C6"/>
    <w:rsid w:val="00C800B7"/>
    <w:rsid w:val="00C8249F"/>
    <w:rsid w:val="00C82FC9"/>
    <w:rsid w:val="00C840F9"/>
    <w:rsid w:val="00C8470F"/>
    <w:rsid w:val="00C85287"/>
    <w:rsid w:val="00C85CCB"/>
    <w:rsid w:val="00C85EC2"/>
    <w:rsid w:val="00C865FF"/>
    <w:rsid w:val="00C8723A"/>
    <w:rsid w:val="00C87427"/>
    <w:rsid w:val="00C87A7D"/>
    <w:rsid w:val="00C903E0"/>
    <w:rsid w:val="00C90501"/>
    <w:rsid w:val="00C90D20"/>
    <w:rsid w:val="00C90E4C"/>
    <w:rsid w:val="00C91686"/>
    <w:rsid w:val="00C9319F"/>
    <w:rsid w:val="00C93551"/>
    <w:rsid w:val="00C94B51"/>
    <w:rsid w:val="00C95164"/>
    <w:rsid w:val="00C953F6"/>
    <w:rsid w:val="00C958FB"/>
    <w:rsid w:val="00C965DA"/>
    <w:rsid w:val="00CA0FFD"/>
    <w:rsid w:val="00CA1014"/>
    <w:rsid w:val="00CA1736"/>
    <w:rsid w:val="00CA1C98"/>
    <w:rsid w:val="00CA219F"/>
    <w:rsid w:val="00CA3BF2"/>
    <w:rsid w:val="00CA4E6B"/>
    <w:rsid w:val="00CA64F3"/>
    <w:rsid w:val="00CA75B6"/>
    <w:rsid w:val="00CB072F"/>
    <w:rsid w:val="00CB1E67"/>
    <w:rsid w:val="00CB387D"/>
    <w:rsid w:val="00CB4435"/>
    <w:rsid w:val="00CB5230"/>
    <w:rsid w:val="00CB5381"/>
    <w:rsid w:val="00CB6588"/>
    <w:rsid w:val="00CB6C66"/>
    <w:rsid w:val="00CB7A4D"/>
    <w:rsid w:val="00CC04A5"/>
    <w:rsid w:val="00CC11E0"/>
    <w:rsid w:val="00CC198A"/>
    <w:rsid w:val="00CC676C"/>
    <w:rsid w:val="00CC6865"/>
    <w:rsid w:val="00CC74E1"/>
    <w:rsid w:val="00CC77BD"/>
    <w:rsid w:val="00CD0991"/>
    <w:rsid w:val="00CD2B14"/>
    <w:rsid w:val="00CD31B6"/>
    <w:rsid w:val="00CD3ABF"/>
    <w:rsid w:val="00CD3E34"/>
    <w:rsid w:val="00CD42FC"/>
    <w:rsid w:val="00CD4DBE"/>
    <w:rsid w:val="00CD55DE"/>
    <w:rsid w:val="00CD5F3C"/>
    <w:rsid w:val="00CD64CF"/>
    <w:rsid w:val="00CD6600"/>
    <w:rsid w:val="00CD6F8C"/>
    <w:rsid w:val="00CD76E7"/>
    <w:rsid w:val="00CD7F22"/>
    <w:rsid w:val="00CE0694"/>
    <w:rsid w:val="00CE0866"/>
    <w:rsid w:val="00CE12AD"/>
    <w:rsid w:val="00CE1620"/>
    <w:rsid w:val="00CE250A"/>
    <w:rsid w:val="00CE3035"/>
    <w:rsid w:val="00CE330E"/>
    <w:rsid w:val="00CE4B9F"/>
    <w:rsid w:val="00CE5D50"/>
    <w:rsid w:val="00CE5E5F"/>
    <w:rsid w:val="00CE650C"/>
    <w:rsid w:val="00CE6E9F"/>
    <w:rsid w:val="00CE7031"/>
    <w:rsid w:val="00CE7CBF"/>
    <w:rsid w:val="00CF0BC9"/>
    <w:rsid w:val="00CF0C89"/>
    <w:rsid w:val="00CF1220"/>
    <w:rsid w:val="00CF1773"/>
    <w:rsid w:val="00CF39BC"/>
    <w:rsid w:val="00CF3A1C"/>
    <w:rsid w:val="00CF4A4D"/>
    <w:rsid w:val="00CF4BA3"/>
    <w:rsid w:val="00CF6C9C"/>
    <w:rsid w:val="00D0001F"/>
    <w:rsid w:val="00D01B51"/>
    <w:rsid w:val="00D02462"/>
    <w:rsid w:val="00D036C9"/>
    <w:rsid w:val="00D03BB8"/>
    <w:rsid w:val="00D03C9C"/>
    <w:rsid w:val="00D056D8"/>
    <w:rsid w:val="00D05892"/>
    <w:rsid w:val="00D065E0"/>
    <w:rsid w:val="00D06D83"/>
    <w:rsid w:val="00D07B57"/>
    <w:rsid w:val="00D108E9"/>
    <w:rsid w:val="00D10977"/>
    <w:rsid w:val="00D114C5"/>
    <w:rsid w:val="00D11F64"/>
    <w:rsid w:val="00D1251B"/>
    <w:rsid w:val="00D155CA"/>
    <w:rsid w:val="00D2148A"/>
    <w:rsid w:val="00D21BF0"/>
    <w:rsid w:val="00D26072"/>
    <w:rsid w:val="00D27CC2"/>
    <w:rsid w:val="00D27DD0"/>
    <w:rsid w:val="00D3000E"/>
    <w:rsid w:val="00D30B18"/>
    <w:rsid w:val="00D31640"/>
    <w:rsid w:val="00D318DC"/>
    <w:rsid w:val="00D31A37"/>
    <w:rsid w:val="00D31BA9"/>
    <w:rsid w:val="00D32B3D"/>
    <w:rsid w:val="00D33476"/>
    <w:rsid w:val="00D3386C"/>
    <w:rsid w:val="00D35682"/>
    <w:rsid w:val="00D35DDE"/>
    <w:rsid w:val="00D35EEC"/>
    <w:rsid w:val="00D37CFB"/>
    <w:rsid w:val="00D37F56"/>
    <w:rsid w:val="00D411DB"/>
    <w:rsid w:val="00D41406"/>
    <w:rsid w:val="00D43E62"/>
    <w:rsid w:val="00D4444A"/>
    <w:rsid w:val="00D44B2F"/>
    <w:rsid w:val="00D458B7"/>
    <w:rsid w:val="00D477EA"/>
    <w:rsid w:val="00D47F18"/>
    <w:rsid w:val="00D47F82"/>
    <w:rsid w:val="00D50777"/>
    <w:rsid w:val="00D50B6D"/>
    <w:rsid w:val="00D51E97"/>
    <w:rsid w:val="00D520BA"/>
    <w:rsid w:val="00D53B91"/>
    <w:rsid w:val="00D53ED0"/>
    <w:rsid w:val="00D54623"/>
    <w:rsid w:val="00D546E0"/>
    <w:rsid w:val="00D54C06"/>
    <w:rsid w:val="00D54CBE"/>
    <w:rsid w:val="00D54CFA"/>
    <w:rsid w:val="00D55BD4"/>
    <w:rsid w:val="00D55C88"/>
    <w:rsid w:val="00D566F7"/>
    <w:rsid w:val="00D5691E"/>
    <w:rsid w:val="00D574D4"/>
    <w:rsid w:val="00D57665"/>
    <w:rsid w:val="00D57A27"/>
    <w:rsid w:val="00D600A0"/>
    <w:rsid w:val="00D60DFE"/>
    <w:rsid w:val="00D616BF"/>
    <w:rsid w:val="00D624DE"/>
    <w:rsid w:val="00D62E9E"/>
    <w:rsid w:val="00D63C4B"/>
    <w:rsid w:val="00D643D5"/>
    <w:rsid w:val="00D67963"/>
    <w:rsid w:val="00D67B3E"/>
    <w:rsid w:val="00D71186"/>
    <w:rsid w:val="00D715AC"/>
    <w:rsid w:val="00D72950"/>
    <w:rsid w:val="00D7295F"/>
    <w:rsid w:val="00D7311D"/>
    <w:rsid w:val="00D746E2"/>
    <w:rsid w:val="00D75339"/>
    <w:rsid w:val="00D75E57"/>
    <w:rsid w:val="00D779BB"/>
    <w:rsid w:val="00D80ACE"/>
    <w:rsid w:val="00D81131"/>
    <w:rsid w:val="00D81771"/>
    <w:rsid w:val="00D81F3E"/>
    <w:rsid w:val="00D82E4E"/>
    <w:rsid w:val="00D839A6"/>
    <w:rsid w:val="00D85724"/>
    <w:rsid w:val="00D859C7"/>
    <w:rsid w:val="00D867F6"/>
    <w:rsid w:val="00D868FA"/>
    <w:rsid w:val="00D86DC5"/>
    <w:rsid w:val="00D87C29"/>
    <w:rsid w:val="00D903C2"/>
    <w:rsid w:val="00D90884"/>
    <w:rsid w:val="00D911EF"/>
    <w:rsid w:val="00D926F1"/>
    <w:rsid w:val="00D93FA5"/>
    <w:rsid w:val="00D94449"/>
    <w:rsid w:val="00D96571"/>
    <w:rsid w:val="00D97477"/>
    <w:rsid w:val="00D974C4"/>
    <w:rsid w:val="00DA039A"/>
    <w:rsid w:val="00DA03BF"/>
    <w:rsid w:val="00DA0A76"/>
    <w:rsid w:val="00DA0F52"/>
    <w:rsid w:val="00DA1AC1"/>
    <w:rsid w:val="00DA3991"/>
    <w:rsid w:val="00DA4648"/>
    <w:rsid w:val="00DA4AD3"/>
    <w:rsid w:val="00DA5114"/>
    <w:rsid w:val="00DA5A8C"/>
    <w:rsid w:val="00DA6A03"/>
    <w:rsid w:val="00DA6B69"/>
    <w:rsid w:val="00DB19A8"/>
    <w:rsid w:val="00DB1ACC"/>
    <w:rsid w:val="00DB1B2C"/>
    <w:rsid w:val="00DB39BE"/>
    <w:rsid w:val="00DB3C0B"/>
    <w:rsid w:val="00DB3E63"/>
    <w:rsid w:val="00DB4135"/>
    <w:rsid w:val="00DB421A"/>
    <w:rsid w:val="00DB4484"/>
    <w:rsid w:val="00DB5043"/>
    <w:rsid w:val="00DB66C6"/>
    <w:rsid w:val="00DB6B84"/>
    <w:rsid w:val="00DC01D3"/>
    <w:rsid w:val="00DC04FE"/>
    <w:rsid w:val="00DC1012"/>
    <w:rsid w:val="00DC13CC"/>
    <w:rsid w:val="00DC2F96"/>
    <w:rsid w:val="00DC30CB"/>
    <w:rsid w:val="00DC32EE"/>
    <w:rsid w:val="00DC41A6"/>
    <w:rsid w:val="00DC54BD"/>
    <w:rsid w:val="00DC5C4F"/>
    <w:rsid w:val="00DC7672"/>
    <w:rsid w:val="00DC7B13"/>
    <w:rsid w:val="00DD113E"/>
    <w:rsid w:val="00DD3DAE"/>
    <w:rsid w:val="00DD4631"/>
    <w:rsid w:val="00DD4A9C"/>
    <w:rsid w:val="00DD4D49"/>
    <w:rsid w:val="00DD7055"/>
    <w:rsid w:val="00DD73A7"/>
    <w:rsid w:val="00DD7A34"/>
    <w:rsid w:val="00DD7D90"/>
    <w:rsid w:val="00DE0708"/>
    <w:rsid w:val="00DE0A86"/>
    <w:rsid w:val="00DE1AFD"/>
    <w:rsid w:val="00DE2BB2"/>
    <w:rsid w:val="00DE39B7"/>
    <w:rsid w:val="00DE3C46"/>
    <w:rsid w:val="00DE4699"/>
    <w:rsid w:val="00DE4915"/>
    <w:rsid w:val="00DE4BF5"/>
    <w:rsid w:val="00DE5570"/>
    <w:rsid w:val="00DE6884"/>
    <w:rsid w:val="00DE6FDC"/>
    <w:rsid w:val="00DF1303"/>
    <w:rsid w:val="00DF1446"/>
    <w:rsid w:val="00DF1E32"/>
    <w:rsid w:val="00DF3B4A"/>
    <w:rsid w:val="00DF3DE9"/>
    <w:rsid w:val="00DF4ABC"/>
    <w:rsid w:val="00DF627B"/>
    <w:rsid w:val="00DF7019"/>
    <w:rsid w:val="00DF7D97"/>
    <w:rsid w:val="00E0050F"/>
    <w:rsid w:val="00E007AD"/>
    <w:rsid w:val="00E00EC2"/>
    <w:rsid w:val="00E017CE"/>
    <w:rsid w:val="00E029D8"/>
    <w:rsid w:val="00E04A02"/>
    <w:rsid w:val="00E06010"/>
    <w:rsid w:val="00E061D8"/>
    <w:rsid w:val="00E067E9"/>
    <w:rsid w:val="00E07937"/>
    <w:rsid w:val="00E07CDA"/>
    <w:rsid w:val="00E11418"/>
    <w:rsid w:val="00E1199D"/>
    <w:rsid w:val="00E11CAF"/>
    <w:rsid w:val="00E1274F"/>
    <w:rsid w:val="00E12946"/>
    <w:rsid w:val="00E13825"/>
    <w:rsid w:val="00E13D6F"/>
    <w:rsid w:val="00E13F02"/>
    <w:rsid w:val="00E150A3"/>
    <w:rsid w:val="00E15F30"/>
    <w:rsid w:val="00E176B5"/>
    <w:rsid w:val="00E20E90"/>
    <w:rsid w:val="00E21781"/>
    <w:rsid w:val="00E21B76"/>
    <w:rsid w:val="00E21B9F"/>
    <w:rsid w:val="00E2399A"/>
    <w:rsid w:val="00E23C7B"/>
    <w:rsid w:val="00E23FB2"/>
    <w:rsid w:val="00E2433D"/>
    <w:rsid w:val="00E24794"/>
    <w:rsid w:val="00E25509"/>
    <w:rsid w:val="00E25C85"/>
    <w:rsid w:val="00E26138"/>
    <w:rsid w:val="00E26257"/>
    <w:rsid w:val="00E3046F"/>
    <w:rsid w:val="00E306C5"/>
    <w:rsid w:val="00E30D91"/>
    <w:rsid w:val="00E32D81"/>
    <w:rsid w:val="00E345A1"/>
    <w:rsid w:val="00E3469B"/>
    <w:rsid w:val="00E34F86"/>
    <w:rsid w:val="00E3582A"/>
    <w:rsid w:val="00E37270"/>
    <w:rsid w:val="00E37CF7"/>
    <w:rsid w:val="00E407B8"/>
    <w:rsid w:val="00E41BFF"/>
    <w:rsid w:val="00E42BF9"/>
    <w:rsid w:val="00E43316"/>
    <w:rsid w:val="00E44A69"/>
    <w:rsid w:val="00E44C87"/>
    <w:rsid w:val="00E44E6C"/>
    <w:rsid w:val="00E464EC"/>
    <w:rsid w:val="00E468CA"/>
    <w:rsid w:val="00E46AE5"/>
    <w:rsid w:val="00E46F55"/>
    <w:rsid w:val="00E47067"/>
    <w:rsid w:val="00E47446"/>
    <w:rsid w:val="00E4776D"/>
    <w:rsid w:val="00E47919"/>
    <w:rsid w:val="00E479BD"/>
    <w:rsid w:val="00E47B24"/>
    <w:rsid w:val="00E500C2"/>
    <w:rsid w:val="00E5037B"/>
    <w:rsid w:val="00E5177F"/>
    <w:rsid w:val="00E51815"/>
    <w:rsid w:val="00E51CF3"/>
    <w:rsid w:val="00E5227D"/>
    <w:rsid w:val="00E525A6"/>
    <w:rsid w:val="00E52E86"/>
    <w:rsid w:val="00E53DF6"/>
    <w:rsid w:val="00E54FD0"/>
    <w:rsid w:val="00E551D8"/>
    <w:rsid w:val="00E5530D"/>
    <w:rsid w:val="00E5566C"/>
    <w:rsid w:val="00E55BEF"/>
    <w:rsid w:val="00E56FE7"/>
    <w:rsid w:val="00E60AD9"/>
    <w:rsid w:val="00E6187B"/>
    <w:rsid w:val="00E62C63"/>
    <w:rsid w:val="00E65545"/>
    <w:rsid w:val="00E6577B"/>
    <w:rsid w:val="00E6617F"/>
    <w:rsid w:val="00E66573"/>
    <w:rsid w:val="00E70B48"/>
    <w:rsid w:val="00E71306"/>
    <w:rsid w:val="00E716A0"/>
    <w:rsid w:val="00E716F7"/>
    <w:rsid w:val="00E719D7"/>
    <w:rsid w:val="00E71BB2"/>
    <w:rsid w:val="00E729A6"/>
    <w:rsid w:val="00E72C3D"/>
    <w:rsid w:val="00E7416F"/>
    <w:rsid w:val="00E74274"/>
    <w:rsid w:val="00E7599C"/>
    <w:rsid w:val="00E7751B"/>
    <w:rsid w:val="00E77E1F"/>
    <w:rsid w:val="00E80569"/>
    <w:rsid w:val="00E808AA"/>
    <w:rsid w:val="00E81229"/>
    <w:rsid w:val="00E8154F"/>
    <w:rsid w:val="00E83A54"/>
    <w:rsid w:val="00E83B6E"/>
    <w:rsid w:val="00E84F92"/>
    <w:rsid w:val="00E856EA"/>
    <w:rsid w:val="00E86298"/>
    <w:rsid w:val="00E86771"/>
    <w:rsid w:val="00E868BB"/>
    <w:rsid w:val="00E874B2"/>
    <w:rsid w:val="00E94F0E"/>
    <w:rsid w:val="00E97B26"/>
    <w:rsid w:val="00E97EAF"/>
    <w:rsid w:val="00EA0C03"/>
    <w:rsid w:val="00EA1436"/>
    <w:rsid w:val="00EA1B0B"/>
    <w:rsid w:val="00EA1B86"/>
    <w:rsid w:val="00EA1D22"/>
    <w:rsid w:val="00EA21FD"/>
    <w:rsid w:val="00EA2A73"/>
    <w:rsid w:val="00EA2E58"/>
    <w:rsid w:val="00EA3308"/>
    <w:rsid w:val="00EA3E95"/>
    <w:rsid w:val="00EA41F6"/>
    <w:rsid w:val="00EA650A"/>
    <w:rsid w:val="00EA737C"/>
    <w:rsid w:val="00EB10F8"/>
    <w:rsid w:val="00EB1856"/>
    <w:rsid w:val="00EB1D94"/>
    <w:rsid w:val="00EB27C9"/>
    <w:rsid w:val="00EB33E8"/>
    <w:rsid w:val="00EB348C"/>
    <w:rsid w:val="00EB3E56"/>
    <w:rsid w:val="00EB3F9E"/>
    <w:rsid w:val="00EB4DCE"/>
    <w:rsid w:val="00EB7231"/>
    <w:rsid w:val="00EB781C"/>
    <w:rsid w:val="00EC02A2"/>
    <w:rsid w:val="00EC0962"/>
    <w:rsid w:val="00EC13C8"/>
    <w:rsid w:val="00EC17E1"/>
    <w:rsid w:val="00EC1990"/>
    <w:rsid w:val="00EC2814"/>
    <w:rsid w:val="00EC43D2"/>
    <w:rsid w:val="00EC495B"/>
    <w:rsid w:val="00EC589C"/>
    <w:rsid w:val="00EC629F"/>
    <w:rsid w:val="00EC62AD"/>
    <w:rsid w:val="00EC72F0"/>
    <w:rsid w:val="00EC7B98"/>
    <w:rsid w:val="00ED00B2"/>
    <w:rsid w:val="00ED1D0B"/>
    <w:rsid w:val="00ED3103"/>
    <w:rsid w:val="00ED34B9"/>
    <w:rsid w:val="00ED38BD"/>
    <w:rsid w:val="00ED39C7"/>
    <w:rsid w:val="00ED49B4"/>
    <w:rsid w:val="00ED4A8C"/>
    <w:rsid w:val="00ED5F8B"/>
    <w:rsid w:val="00ED62B8"/>
    <w:rsid w:val="00EE0DE7"/>
    <w:rsid w:val="00EE55AD"/>
    <w:rsid w:val="00EE581E"/>
    <w:rsid w:val="00EE5951"/>
    <w:rsid w:val="00EE6331"/>
    <w:rsid w:val="00EE67A8"/>
    <w:rsid w:val="00EE6D15"/>
    <w:rsid w:val="00EF014A"/>
    <w:rsid w:val="00EF1D0C"/>
    <w:rsid w:val="00EF1ED4"/>
    <w:rsid w:val="00EF2390"/>
    <w:rsid w:val="00EF24A6"/>
    <w:rsid w:val="00EF283C"/>
    <w:rsid w:val="00EF2B2A"/>
    <w:rsid w:val="00EF2F24"/>
    <w:rsid w:val="00EF4D1C"/>
    <w:rsid w:val="00EF5542"/>
    <w:rsid w:val="00EF5A01"/>
    <w:rsid w:val="00EF64E7"/>
    <w:rsid w:val="00EF6B08"/>
    <w:rsid w:val="00EF7822"/>
    <w:rsid w:val="00F002F1"/>
    <w:rsid w:val="00F015E2"/>
    <w:rsid w:val="00F01DDF"/>
    <w:rsid w:val="00F02869"/>
    <w:rsid w:val="00F0315E"/>
    <w:rsid w:val="00F03C78"/>
    <w:rsid w:val="00F04B50"/>
    <w:rsid w:val="00F05CD9"/>
    <w:rsid w:val="00F070EE"/>
    <w:rsid w:val="00F075DA"/>
    <w:rsid w:val="00F10721"/>
    <w:rsid w:val="00F12207"/>
    <w:rsid w:val="00F13349"/>
    <w:rsid w:val="00F14978"/>
    <w:rsid w:val="00F14CD6"/>
    <w:rsid w:val="00F14F8E"/>
    <w:rsid w:val="00F15864"/>
    <w:rsid w:val="00F17C8B"/>
    <w:rsid w:val="00F20A8C"/>
    <w:rsid w:val="00F21674"/>
    <w:rsid w:val="00F21754"/>
    <w:rsid w:val="00F21B31"/>
    <w:rsid w:val="00F21B81"/>
    <w:rsid w:val="00F220B5"/>
    <w:rsid w:val="00F2395C"/>
    <w:rsid w:val="00F239F1"/>
    <w:rsid w:val="00F23F1F"/>
    <w:rsid w:val="00F24654"/>
    <w:rsid w:val="00F25247"/>
    <w:rsid w:val="00F26557"/>
    <w:rsid w:val="00F26A9F"/>
    <w:rsid w:val="00F26DA6"/>
    <w:rsid w:val="00F2714B"/>
    <w:rsid w:val="00F31868"/>
    <w:rsid w:val="00F31A17"/>
    <w:rsid w:val="00F32380"/>
    <w:rsid w:val="00F32D8B"/>
    <w:rsid w:val="00F341D0"/>
    <w:rsid w:val="00F3495F"/>
    <w:rsid w:val="00F34E93"/>
    <w:rsid w:val="00F363E0"/>
    <w:rsid w:val="00F37438"/>
    <w:rsid w:val="00F37744"/>
    <w:rsid w:val="00F37A9A"/>
    <w:rsid w:val="00F412A5"/>
    <w:rsid w:val="00F41B4F"/>
    <w:rsid w:val="00F421E9"/>
    <w:rsid w:val="00F42F75"/>
    <w:rsid w:val="00F4476C"/>
    <w:rsid w:val="00F45405"/>
    <w:rsid w:val="00F47049"/>
    <w:rsid w:val="00F51302"/>
    <w:rsid w:val="00F514CF"/>
    <w:rsid w:val="00F52212"/>
    <w:rsid w:val="00F5253C"/>
    <w:rsid w:val="00F52D70"/>
    <w:rsid w:val="00F541F7"/>
    <w:rsid w:val="00F54E1F"/>
    <w:rsid w:val="00F55865"/>
    <w:rsid w:val="00F55A6C"/>
    <w:rsid w:val="00F55DA8"/>
    <w:rsid w:val="00F55F35"/>
    <w:rsid w:val="00F57172"/>
    <w:rsid w:val="00F60BD8"/>
    <w:rsid w:val="00F613D8"/>
    <w:rsid w:val="00F62E51"/>
    <w:rsid w:val="00F62F6E"/>
    <w:rsid w:val="00F63996"/>
    <w:rsid w:val="00F64346"/>
    <w:rsid w:val="00F64BF9"/>
    <w:rsid w:val="00F660FD"/>
    <w:rsid w:val="00F6685B"/>
    <w:rsid w:val="00F66A2B"/>
    <w:rsid w:val="00F66AE2"/>
    <w:rsid w:val="00F6759D"/>
    <w:rsid w:val="00F67FE8"/>
    <w:rsid w:val="00F71D9D"/>
    <w:rsid w:val="00F71DFE"/>
    <w:rsid w:val="00F72669"/>
    <w:rsid w:val="00F72A5E"/>
    <w:rsid w:val="00F73111"/>
    <w:rsid w:val="00F74736"/>
    <w:rsid w:val="00F75019"/>
    <w:rsid w:val="00F75B9A"/>
    <w:rsid w:val="00F80611"/>
    <w:rsid w:val="00F8085B"/>
    <w:rsid w:val="00F80F0E"/>
    <w:rsid w:val="00F82A6E"/>
    <w:rsid w:val="00F82D23"/>
    <w:rsid w:val="00F83091"/>
    <w:rsid w:val="00F8319C"/>
    <w:rsid w:val="00F84323"/>
    <w:rsid w:val="00F844E4"/>
    <w:rsid w:val="00F859C6"/>
    <w:rsid w:val="00F86F6A"/>
    <w:rsid w:val="00F87245"/>
    <w:rsid w:val="00F91572"/>
    <w:rsid w:val="00F9370E"/>
    <w:rsid w:val="00F93DBB"/>
    <w:rsid w:val="00F94C5F"/>
    <w:rsid w:val="00F95975"/>
    <w:rsid w:val="00F969F8"/>
    <w:rsid w:val="00F9724B"/>
    <w:rsid w:val="00F97AED"/>
    <w:rsid w:val="00FA040B"/>
    <w:rsid w:val="00FA0863"/>
    <w:rsid w:val="00FA2C52"/>
    <w:rsid w:val="00FA3634"/>
    <w:rsid w:val="00FA3A28"/>
    <w:rsid w:val="00FA3BD3"/>
    <w:rsid w:val="00FA3FE8"/>
    <w:rsid w:val="00FA4893"/>
    <w:rsid w:val="00FA55C3"/>
    <w:rsid w:val="00FA5E43"/>
    <w:rsid w:val="00FA65F5"/>
    <w:rsid w:val="00FA6ADE"/>
    <w:rsid w:val="00FA7A73"/>
    <w:rsid w:val="00FB0E19"/>
    <w:rsid w:val="00FB1387"/>
    <w:rsid w:val="00FB2BB3"/>
    <w:rsid w:val="00FB3631"/>
    <w:rsid w:val="00FB3C96"/>
    <w:rsid w:val="00FB4807"/>
    <w:rsid w:val="00FB6484"/>
    <w:rsid w:val="00FB650C"/>
    <w:rsid w:val="00FB6606"/>
    <w:rsid w:val="00FB6A1F"/>
    <w:rsid w:val="00FB6D8D"/>
    <w:rsid w:val="00FB7770"/>
    <w:rsid w:val="00FC0B85"/>
    <w:rsid w:val="00FC0E89"/>
    <w:rsid w:val="00FC1740"/>
    <w:rsid w:val="00FC1D08"/>
    <w:rsid w:val="00FC2782"/>
    <w:rsid w:val="00FC2BF7"/>
    <w:rsid w:val="00FC37BE"/>
    <w:rsid w:val="00FC53DA"/>
    <w:rsid w:val="00FC53F8"/>
    <w:rsid w:val="00FC72EF"/>
    <w:rsid w:val="00FD0CEB"/>
    <w:rsid w:val="00FD118D"/>
    <w:rsid w:val="00FD1383"/>
    <w:rsid w:val="00FD149D"/>
    <w:rsid w:val="00FD1E36"/>
    <w:rsid w:val="00FD4F4D"/>
    <w:rsid w:val="00FD5BDE"/>
    <w:rsid w:val="00FD5E2C"/>
    <w:rsid w:val="00FD6127"/>
    <w:rsid w:val="00FD6F48"/>
    <w:rsid w:val="00FD6FEE"/>
    <w:rsid w:val="00FE0880"/>
    <w:rsid w:val="00FE1F95"/>
    <w:rsid w:val="00FE2636"/>
    <w:rsid w:val="00FE2D84"/>
    <w:rsid w:val="00FE3356"/>
    <w:rsid w:val="00FE43DB"/>
    <w:rsid w:val="00FE5F7C"/>
    <w:rsid w:val="00FE7094"/>
    <w:rsid w:val="00FE7ABA"/>
    <w:rsid w:val="00FE7D15"/>
    <w:rsid w:val="00FE7F16"/>
    <w:rsid w:val="00FF00E4"/>
    <w:rsid w:val="00FF0929"/>
    <w:rsid w:val="00FF1971"/>
    <w:rsid w:val="00FF1FDD"/>
    <w:rsid w:val="00FF211D"/>
    <w:rsid w:val="00FF2291"/>
    <w:rsid w:val="00FF2FA4"/>
    <w:rsid w:val="00FF32CB"/>
    <w:rsid w:val="00FF4098"/>
    <w:rsid w:val="00FF4D30"/>
    <w:rsid w:val="00FF577A"/>
    <w:rsid w:val="00FF5E97"/>
    <w:rsid w:val="00FF73C0"/>
    <w:rsid w:val="00FF7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colormru v:ext="edit" colors="#ccecff,#e5f5ff"/>
    </o:shapedefaults>
    <o:shapelayout v:ext="edit">
      <o:idmap v:ext="edit" data="1"/>
    </o:shapelayout>
  </w:shapeDefaults>
  <w:decimalSymbol w:val=","/>
  <w:listSeparator w:val=";"/>
  <w14:docId w14:val="68A29A94"/>
  <w15:chartTrackingRefBased/>
  <w15:docId w15:val="{E77A2E03-8857-450B-A399-C8F0F43F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763C"/>
    <w:pPr>
      <w:spacing w:after="200" w:line="276" w:lineRule="auto"/>
    </w:pPr>
    <w:rPr>
      <w:rFonts w:ascii="Arial" w:hAnsi="Arial"/>
      <w:sz w:val="24"/>
      <w:szCs w:val="22"/>
      <w:lang w:eastAsia="en-US"/>
    </w:rPr>
  </w:style>
  <w:style w:type="paragraph" w:styleId="Nagwek1">
    <w:name w:val="heading 1"/>
    <w:basedOn w:val="Normalny"/>
    <w:next w:val="Normalny"/>
    <w:link w:val="Nagwek1Znak"/>
    <w:uiPriority w:val="9"/>
    <w:qFormat/>
    <w:rsid w:val="008102E9"/>
    <w:pPr>
      <w:keepNext/>
      <w:shd w:val="clear" w:color="auto" w:fill="002060"/>
      <w:spacing w:before="240" w:after="240"/>
      <w:outlineLvl w:val="0"/>
    </w:pPr>
    <w:rPr>
      <w:rFonts w:eastAsia="Times New Roman"/>
      <w:bCs/>
      <w:color w:val="FFFFFF"/>
      <w:kern w:val="32"/>
      <w:sz w:val="32"/>
      <w:szCs w:val="32"/>
    </w:rPr>
  </w:style>
  <w:style w:type="paragraph" w:styleId="Nagwek2">
    <w:name w:val="heading 2"/>
    <w:basedOn w:val="Normalny"/>
    <w:next w:val="Normalny"/>
    <w:link w:val="Nagwek2Znak"/>
    <w:uiPriority w:val="9"/>
    <w:unhideWhenUsed/>
    <w:qFormat/>
    <w:rsid w:val="005E5C67"/>
    <w:pPr>
      <w:keepNext/>
      <w:shd w:val="clear" w:color="auto" w:fill="2F5496"/>
      <w:spacing w:before="360" w:after="240"/>
      <w:outlineLvl w:val="1"/>
    </w:pPr>
    <w:rPr>
      <w:rFonts w:eastAsia="Times New Roman"/>
      <w:bCs/>
      <w:iCs/>
      <w:color w:val="FFFFFF"/>
      <w:sz w:val="28"/>
      <w:szCs w:val="28"/>
    </w:rPr>
  </w:style>
  <w:style w:type="paragraph" w:styleId="Nagwek3">
    <w:name w:val="heading 3"/>
    <w:basedOn w:val="Normalny"/>
    <w:next w:val="Normalny"/>
    <w:link w:val="Nagwek3Znak"/>
    <w:uiPriority w:val="9"/>
    <w:unhideWhenUsed/>
    <w:qFormat/>
    <w:rsid w:val="008102E9"/>
    <w:pPr>
      <w:keepNext/>
      <w:shd w:val="clear" w:color="auto" w:fill="2E74B5"/>
      <w:spacing w:before="240" w:after="60"/>
      <w:outlineLvl w:val="2"/>
    </w:pPr>
    <w:rPr>
      <w:rFonts w:eastAsia="Times New Roman"/>
      <w:bCs/>
      <w:color w:val="FFFFFF"/>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102E9"/>
    <w:rPr>
      <w:rFonts w:ascii="Arial" w:eastAsia="Times New Roman" w:hAnsi="Arial"/>
      <w:bCs/>
      <w:color w:val="FFFFFF"/>
      <w:kern w:val="32"/>
      <w:sz w:val="32"/>
      <w:szCs w:val="32"/>
      <w:shd w:val="clear" w:color="auto" w:fill="002060"/>
      <w:lang w:eastAsia="en-US"/>
    </w:rPr>
  </w:style>
  <w:style w:type="paragraph" w:styleId="Nagwekspisutreci">
    <w:name w:val="TOC Heading"/>
    <w:basedOn w:val="Nagwek1"/>
    <w:next w:val="Normalny"/>
    <w:uiPriority w:val="39"/>
    <w:unhideWhenUsed/>
    <w:qFormat/>
    <w:rsid w:val="005548BF"/>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rsid w:val="0002431D"/>
    <w:pPr>
      <w:tabs>
        <w:tab w:val="right" w:leader="dot" w:pos="9062"/>
      </w:tabs>
    </w:pPr>
  </w:style>
  <w:style w:type="character" w:styleId="Hipercze">
    <w:name w:val="Hyperlink"/>
    <w:uiPriority w:val="99"/>
    <w:unhideWhenUsed/>
    <w:rsid w:val="005548BF"/>
    <w:rPr>
      <w:color w:val="0000FF"/>
      <w:u w:val="single"/>
    </w:rPr>
  </w:style>
  <w:style w:type="character" w:customStyle="1" w:styleId="StylArial9ptNiebieskoszary">
    <w:name w:val="Styl Arial 9 pt Niebieskoszary"/>
    <w:rsid w:val="005548BF"/>
    <w:rPr>
      <w:rFonts w:ascii="Arial" w:hAnsi="Arial"/>
      <w:color w:val="006666"/>
      <w:sz w:val="18"/>
    </w:rPr>
  </w:style>
  <w:style w:type="paragraph" w:customStyle="1" w:styleId="StylNagwekArial10ptPogrubienieNiebieskoszary">
    <w:name w:val="Styl Nagłówek + Arial 10 pt Pogrubienie Niebieskoszary"/>
    <w:basedOn w:val="Nagwek"/>
    <w:link w:val="StylNagwekArial10ptPogrubienieNiebieskoszaryZnak"/>
    <w:rsid w:val="005548BF"/>
    <w:pPr>
      <w:spacing w:after="0" w:line="240" w:lineRule="auto"/>
    </w:pPr>
    <w:rPr>
      <w:rFonts w:eastAsia="Times New Roman"/>
      <w:b/>
      <w:bCs/>
      <w:color w:val="006666"/>
      <w:sz w:val="20"/>
      <w:szCs w:val="20"/>
      <w:lang w:eastAsia="pl-PL"/>
    </w:rPr>
  </w:style>
  <w:style w:type="character" w:customStyle="1" w:styleId="StylNagwekArial10ptPogrubienieNiebieskoszaryZnak">
    <w:name w:val="Styl Nagłówek + Arial 10 pt Pogrubienie Niebieskoszary Znak"/>
    <w:link w:val="StylNagwekArial10ptPogrubienieNiebieskoszary"/>
    <w:rsid w:val="005548BF"/>
    <w:rPr>
      <w:rFonts w:ascii="Arial" w:eastAsia="Times New Roman" w:hAnsi="Arial"/>
      <w:b/>
      <w:bCs/>
      <w:color w:val="006666"/>
    </w:rPr>
  </w:style>
  <w:style w:type="paragraph" w:customStyle="1" w:styleId="Styl">
    <w:name w:val="Styl"/>
    <w:basedOn w:val="Tekstpodstawowy"/>
    <w:link w:val="StylZnak"/>
    <w:rsid w:val="005548BF"/>
    <w:pPr>
      <w:spacing w:before="40" w:after="40" w:line="240" w:lineRule="auto"/>
      <w:jc w:val="both"/>
    </w:pPr>
    <w:rPr>
      <w:rFonts w:eastAsia="Times New Roman"/>
      <w:color w:val="006666"/>
      <w:sz w:val="18"/>
      <w:szCs w:val="20"/>
      <w:lang w:eastAsia="pl-PL"/>
    </w:rPr>
  </w:style>
  <w:style w:type="character" w:customStyle="1" w:styleId="StylZnak">
    <w:name w:val="Styl Znak"/>
    <w:link w:val="Styl"/>
    <w:rsid w:val="005548BF"/>
    <w:rPr>
      <w:rFonts w:ascii="Arial" w:eastAsia="Times New Roman" w:hAnsi="Arial"/>
      <w:color w:val="006666"/>
      <w:sz w:val="18"/>
    </w:rPr>
  </w:style>
  <w:style w:type="paragraph" w:styleId="Nagwek">
    <w:name w:val="header"/>
    <w:basedOn w:val="Normalny"/>
    <w:link w:val="NagwekZnak"/>
    <w:unhideWhenUsed/>
    <w:rsid w:val="005548BF"/>
    <w:pPr>
      <w:tabs>
        <w:tab w:val="center" w:pos="4536"/>
        <w:tab w:val="right" w:pos="9072"/>
      </w:tabs>
    </w:pPr>
  </w:style>
  <w:style w:type="character" w:customStyle="1" w:styleId="NagwekZnak">
    <w:name w:val="Nagłówek Znak"/>
    <w:link w:val="Nagwek"/>
    <w:rsid w:val="005548BF"/>
    <w:rPr>
      <w:sz w:val="22"/>
      <w:szCs w:val="22"/>
      <w:lang w:eastAsia="en-US"/>
    </w:rPr>
  </w:style>
  <w:style w:type="paragraph" w:styleId="Tekstpodstawowy">
    <w:name w:val="Body Text"/>
    <w:basedOn w:val="Normalny"/>
    <w:link w:val="TekstpodstawowyZnak"/>
    <w:uiPriority w:val="99"/>
    <w:unhideWhenUsed/>
    <w:rsid w:val="005548BF"/>
    <w:pPr>
      <w:spacing w:after="120"/>
    </w:pPr>
  </w:style>
  <w:style w:type="character" w:customStyle="1" w:styleId="TekstpodstawowyZnak">
    <w:name w:val="Tekst podstawowy Znak"/>
    <w:link w:val="Tekstpodstawowy"/>
    <w:uiPriority w:val="99"/>
    <w:rsid w:val="005548BF"/>
    <w:rPr>
      <w:sz w:val="22"/>
      <w:szCs w:val="22"/>
      <w:lang w:eastAsia="en-US"/>
    </w:rPr>
  </w:style>
  <w:style w:type="character" w:customStyle="1" w:styleId="Nagwek2Znak">
    <w:name w:val="Nagłówek 2 Znak"/>
    <w:link w:val="Nagwek2"/>
    <w:uiPriority w:val="9"/>
    <w:rsid w:val="005E5C67"/>
    <w:rPr>
      <w:rFonts w:ascii="Arial" w:eastAsia="Times New Roman" w:hAnsi="Arial"/>
      <w:bCs/>
      <w:iCs/>
      <w:color w:val="FFFFFF"/>
      <w:sz w:val="28"/>
      <w:szCs w:val="28"/>
      <w:shd w:val="clear" w:color="auto" w:fill="2F5496"/>
      <w:lang w:eastAsia="en-US"/>
    </w:rPr>
  </w:style>
  <w:style w:type="paragraph" w:styleId="Spistreci2">
    <w:name w:val="toc 2"/>
    <w:basedOn w:val="Normalny"/>
    <w:next w:val="Normalny"/>
    <w:autoRedefine/>
    <w:uiPriority w:val="39"/>
    <w:unhideWhenUsed/>
    <w:rsid w:val="00E47446"/>
    <w:pPr>
      <w:tabs>
        <w:tab w:val="right" w:leader="dot" w:pos="9062"/>
      </w:tabs>
      <w:ind w:left="220"/>
    </w:pPr>
    <w:rPr>
      <w:rFonts w:cs="Arial"/>
      <w:bCs/>
      <w:iCs/>
      <w:noProof/>
    </w:rPr>
  </w:style>
  <w:style w:type="character" w:customStyle="1" w:styleId="bold">
    <w:name w:val="bold"/>
    <w:rsid w:val="00500D4F"/>
  </w:style>
  <w:style w:type="character" w:customStyle="1" w:styleId="super">
    <w:name w:val="super"/>
    <w:rsid w:val="00500D4F"/>
  </w:style>
  <w:style w:type="paragraph" w:styleId="Tekstprzypisudolnego">
    <w:name w:val="footnote text"/>
    <w:basedOn w:val="Normalny"/>
    <w:link w:val="TekstprzypisudolnegoZnak"/>
    <w:semiHidden/>
    <w:rsid w:val="00D60DF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semiHidden/>
    <w:rsid w:val="00D60DFE"/>
    <w:rPr>
      <w:rFonts w:ascii="Times New Roman" w:eastAsia="Times New Roman" w:hAnsi="Times New Roman"/>
    </w:rPr>
  </w:style>
  <w:style w:type="character" w:styleId="Odwoanieprzypisudolnego">
    <w:name w:val="footnote reference"/>
    <w:semiHidden/>
    <w:rsid w:val="00D60DFE"/>
    <w:rPr>
      <w:vertAlign w:val="superscript"/>
    </w:rPr>
  </w:style>
  <w:style w:type="paragraph" w:customStyle="1" w:styleId="StylNagwek3ArialKursywa">
    <w:name w:val="Styl Nagłówek 3 + Arial Kursywa"/>
    <w:basedOn w:val="Nagwek3"/>
    <w:link w:val="StylNagwek3ArialKursywaZnak"/>
    <w:rsid w:val="00D60DFE"/>
    <w:pPr>
      <w:spacing w:after="120" w:line="240" w:lineRule="auto"/>
    </w:pPr>
    <w:rPr>
      <w:rFonts w:cs="Arial"/>
      <w:b/>
      <w:bCs w:val="0"/>
      <w:iCs/>
      <w:smallCaps/>
      <w:color w:val="006666"/>
      <w:lang w:eastAsia="pl-PL"/>
    </w:rPr>
  </w:style>
  <w:style w:type="character" w:customStyle="1" w:styleId="StylNagwek3ArialKursywaZnak">
    <w:name w:val="Styl Nagłówek 3 + Arial Kursywa Znak"/>
    <w:link w:val="StylNagwek3ArialKursywa"/>
    <w:rsid w:val="00D60DFE"/>
    <w:rPr>
      <w:rFonts w:ascii="Arial" w:eastAsia="Times New Roman" w:hAnsi="Arial" w:cs="Arial"/>
      <w:iCs/>
      <w:smallCaps/>
      <w:color w:val="006666"/>
      <w:sz w:val="24"/>
      <w:szCs w:val="26"/>
    </w:rPr>
  </w:style>
  <w:style w:type="character" w:customStyle="1" w:styleId="Nagwek3Znak">
    <w:name w:val="Nagłówek 3 Znak"/>
    <w:link w:val="Nagwek3"/>
    <w:uiPriority w:val="9"/>
    <w:rsid w:val="008102E9"/>
    <w:rPr>
      <w:rFonts w:ascii="Arial" w:eastAsia="Times New Roman" w:hAnsi="Arial"/>
      <w:bCs/>
      <w:color w:val="FFFFFF"/>
      <w:sz w:val="24"/>
      <w:szCs w:val="26"/>
      <w:shd w:val="clear" w:color="auto" w:fill="2E74B5"/>
      <w:lang w:eastAsia="en-US"/>
    </w:rPr>
  </w:style>
  <w:style w:type="table" w:styleId="Tabela-Siatka">
    <w:name w:val="Table Grid"/>
    <w:basedOn w:val="Standardowy"/>
    <w:uiPriority w:val="59"/>
    <w:rsid w:val="00DB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basedOn w:val="Normalny"/>
    <w:rsid w:val="00DB6B84"/>
    <w:pPr>
      <w:spacing w:before="100" w:beforeAutospacing="1" w:after="100" w:afterAutospacing="1" w:line="240" w:lineRule="auto"/>
    </w:pPr>
    <w:rPr>
      <w:rFonts w:ascii="Times New Roman" w:eastAsia="Times New Roman" w:hAnsi="Times New Roman"/>
      <w:szCs w:val="24"/>
      <w:lang w:eastAsia="pl-PL"/>
    </w:rPr>
  </w:style>
  <w:style w:type="character" w:customStyle="1" w:styleId="italic">
    <w:name w:val="italic"/>
    <w:rsid w:val="00DB6B84"/>
  </w:style>
  <w:style w:type="paragraph" w:customStyle="1" w:styleId="ti-grseq-1">
    <w:name w:val="ti-grseq-1"/>
    <w:basedOn w:val="Normalny"/>
    <w:rsid w:val="00F72A5E"/>
    <w:pPr>
      <w:spacing w:before="100" w:beforeAutospacing="1" w:after="100" w:afterAutospacing="1" w:line="240" w:lineRule="auto"/>
    </w:pPr>
    <w:rPr>
      <w:rFonts w:ascii="Times New Roman" w:eastAsia="Times New Roman" w:hAnsi="Times New Roman"/>
      <w:szCs w:val="24"/>
      <w:lang w:eastAsia="pl-PL"/>
    </w:rPr>
  </w:style>
  <w:style w:type="paragraph" w:styleId="Stopka">
    <w:name w:val="footer"/>
    <w:basedOn w:val="Normalny"/>
    <w:link w:val="StopkaZnak"/>
    <w:uiPriority w:val="99"/>
    <w:unhideWhenUsed/>
    <w:rsid w:val="00633009"/>
    <w:pPr>
      <w:tabs>
        <w:tab w:val="center" w:pos="4536"/>
        <w:tab w:val="right" w:pos="9072"/>
      </w:tabs>
    </w:pPr>
  </w:style>
  <w:style w:type="character" w:customStyle="1" w:styleId="StopkaZnak">
    <w:name w:val="Stopka Znak"/>
    <w:link w:val="Stopka"/>
    <w:uiPriority w:val="99"/>
    <w:rsid w:val="00633009"/>
    <w:rPr>
      <w:sz w:val="22"/>
      <w:szCs w:val="22"/>
      <w:lang w:eastAsia="en-US"/>
    </w:rPr>
  </w:style>
  <w:style w:type="paragraph" w:styleId="Tekstpodstawowy2">
    <w:name w:val="Body Text 2"/>
    <w:basedOn w:val="Normalny"/>
    <w:link w:val="Tekstpodstawowy2Znak"/>
    <w:uiPriority w:val="99"/>
    <w:semiHidden/>
    <w:unhideWhenUsed/>
    <w:rsid w:val="00F6685B"/>
    <w:pPr>
      <w:spacing w:after="120" w:line="480" w:lineRule="auto"/>
    </w:pPr>
  </w:style>
  <w:style w:type="character" w:customStyle="1" w:styleId="Tekstpodstawowy2Znak">
    <w:name w:val="Tekst podstawowy 2 Znak"/>
    <w:link w:val="Tekstpodstawowy2"/>
    <w:uiPriority w:val="99"/>
    <w:semiHidden/>
    <w:rsid w:val="00F6685B"/>
    <w:rPr>
      <w:sz w:val="22"/>
      <w:szCs w:val="22"/>
      <w:lang w:eastAsia="en-US"/>
    </w:rPr>
  </w:style>
  <w:style w:type="paragraph" w:styleId="Tekstdymka">
    <w:name w:val="Balloon Text"/>
    <w:basedOn w:val="Normalny"/>
    <w:link w:val="TekstdymkaZnak"/>
    <w:uiPriority w:val="99"/>
    <w:semiHidden/>
    <w:unhideWhenUsed/>
    <w:rsid w:val="00B767F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767F2"/>
    <w:rPr>
      <w:rFonts w:ascii="Tahoma" w:hAnsi="Tahoma" w:cs="Tahoma"/>
      <w:sz w:val="16"/>
      <w:szCs w:val="16"/>
      <w:lang w:eastAsia="en-US"/>
    </w:rPr>
  </w:style>
  <w:style w:type="paragraph" w:styleId="Tekstpodstawowy3">
    <w:name w:val="Body Text 3"/>
    <w:basedOn w:val="Normalny"/>
    <w:link w:val="Tekstpodstawowy3Znak"/>
    <w:rsid w:val="0045167A"/>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rsid w:val="0045167A"/>
    <w:rPr>
      <w:rFonts w:ascii="Times New Roman" w:eastAsia="Times New Roman" w:hAnsi="Times New Roman"/>
      <w:sz w:val="16"/>
      <w:szCs w:val="16"/>
    </w:rPr>
  </w:style>
  <w:style w:type="paragraph" w:styleId="Tekstkomentarza">
    <w:name w:val="annotation text"/>
    <w:basedOn w:val="Normalny"/>
    <w:link w:val="TekstkomentarzaZnak"/>
    <w:semiHidden/>
    <w:rsid w:val="0045167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semiHidden/>
    <w:rsid w:val="0045167A"/>
    <w:rPr>
      <w:rFonts w:ascii="Times New Roman" w:eastAsia="Times New Roman" w:hAnsi="Times New Roman"/>
    </w:rPr>
  </w:style>
  <w:style w:type="character" w:customStyle="1" w:styleId="hps">
    <w:name w:val="hps"/>
    <w:basedOn w:val="Domylnaczcionkaakapitu"/>
    <w:rsid w:val="0045167A"/>
  </w:style>
  <w:style w:type="character" w:styleId="Odwoaniedokomentarza">
    <w:name w:val="annotation reference"/>
    <w:uiPriority w:val="99"/>
    <w:semiHidden/>
    <w:unhideWhenUsed/>
    <w:rsid w:val="001813A8"/>
    <w:rPr>
      <w:sz w:val="16"/>
      <w:szCs w:val="16"/>
    </w:rPr>
  </w:style>
  <w:style w:type="paragraph" w:styleId="Tematkomentarza">
    <w:name w:val="annotation subject"/>
    <w:basedOn w:val="Tekstkomentarza"/>
    <w:next w:val="Tekstkomentarza"/>
    <w:link w:val="TematkomentarzaZnak"/>
    <w:uiPriority w:val="99"/>
    <w:semiHidden/>
    <w:unhideWhenUsed/>
    <w:rsid w:val="001813A8"/>
    <w:pPr>
      <w:spacing w:after="200" w:line="276" w:lineRule="auto"/>
    </w:pPr>
    <w:rPr>
      <w:rFonts w:ascii="Calibri" w:eastAsia="Calibri" w:hAnsi="Calibri"/>
      <w:b/>
      <w:bCs/>
      <w:lang w:eastAsia="en-US"/>
    </w:rPr>
  </w:style>
  <w:style w:type="character" w:customStyle="1" w:styleId="TematkomentarzaZnak">
    <w:name w:val="Temat komentarza Znak"/>
    <w:link w:val="Tematkomentarza"/>
    <w:uiPriority w:val="99"/>
    <w:semiHidden/>
    <w:rsid w:val="001813A8"/>
    <w:rPr>
      <w:rFonts w:ascii="Times New Roman" w:eastAsia="Times New Roman" w:hAnsi="Times New Roman"/>
      <w:b/>
      <w:bCs/>
      <w:lang w:eastAsia="en-US"/>
    </w:rPr>
  </w:style>
  <w:style w:type="paragraph" w:styleId="Akapitzlist">
    <w:name w:val="List Paragraph"/>
    <w:aliases w:val="Numerowanie,List Paragraph,maz_wyliczenie,opis dzialania,K-P_odwolanie,A_wyliczenie,Akapit z listą5CxSpLast,Akapit z listą5,numerowanie,BulletC,Tekst punktowanie,Akapit z listą 1,Table of contents numbered,sw tekst,Wykres,Normal bullet 2"/>
    <w:basedOn w:val="Normalny"/>
    <w:link w:val="AkapitzlistZnak"/>
    <w:uiPriority w:val="34"/>
    <w:qFormat/>
    <w:rsid w:val="009E0224"/>
    <w:pPr>
      <w:spacing w:after="0" w:line="240" w:lineRule="auto"/>
      <w:ind w:left="720"/>
      <w:contextualSpacing/>
    </w:pPr>
  </w:style>
  <w:style w:type="character" w:customStyle="1" w:styleId="AkapitzlistZnak">
    <w:name w:val="Akapit z listą Znak"/>
    <w:aliases w:val="Numerowanie Znak,List Paragraph Znak,maz_wyliczenie Znak,opis dzialania Znak,K-P_odwolanie Znak,A_wyliczenie Znak,Akapit z listą5CxSpLast Znak,Akapit z listą5 Znak,numerowanie Znak,BulletC Znak,Tekst punktowanie Znak,sw tekst Znak"/>
    <w:link w:val="Akapitzlist"/>
    <w:uiPriority w:val="34"/>
    <w:qFormat/>
    <w:locked/>
    <w:rsid w:val="009E0224"/>
    <w:rPr>
      <w:sz w:val="22"/>
      <w:szCs w:val="22"/>
      <w:lang w:eastAsia="en-US"/>
    </w:rPr>
  </w:style>
  <w:style w:type="paragraph" w:customStyle="1" w:styleId="Default">
    <w:name w:val="Default"/>
    <w:rsid w:val="009E0224"/>
    <w:pPr>
      <w:autoSpaceDE w:val="0"/>
      <w:autoSpaceDN w:val="0"/>
      <w:adjustRightInd w:val="0"/>
    </w:pPr>
    <w:rPr>
      <w:rFonts w:ascii="Arial" w:hAnsi="Arial" w:cs="Arial"/>
      <w:color w:val="000000"/>
      <w:sz w:val="24"/>
      <w:szCs w:val="24"/>
    </w:rPr>
  </w:style>
  <w:style w:type="paragraph" w:styleId="Bezodstpw">
    <w:name w:val="No Spacing"/>
    <w:uiPriority w:val="1"/>
    <w:qFormat/>
    <w:rsid w:val="00C674E7"/>
    <w:rPr>
      <w:sz w:val="22"/>
      <w:szCs w:val="22"/>
      <w:lang w:eastAsia="en-US"/>
    </w:rPr>
  </w:style>
  <w:style w:type="table" w:customStyle="1" w:styleId="Tabela-Siatka1">
    <w:name w:val="Tabela - Siatka1"/>
    <w:basedOn w:val="Standardowy"/>
    <w:next w:val="Tabela-Siatka"/>
    <w:uiPriority w:val="39"/>
    <w:rsid w:val="006D5F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A24E8"/>
    <w:rPr>
      <w:b/>
      <w:bCs/>
    </w:rPr>
  </w:style>
  <w:style w:type="paragraph" w:styleId="Poprawka">
    <w:name w:val="Revision"/>
    <w:hidden/>
    <w:uiPriority w:val="99"/>
    <w:semiHidden/>
    <w:rsid w:val="005027BB"/>
    <w:rPr>
      <w:sz w:val="22"/>
      <w:szCs w:val="22"/>
      <w:lang w:eastAsia="en-US"/>
    </w:rPr>
  </w:style>
  <w:style w:type="character" w:styleId="Uwydatnienie">
    <w:name w:val="Emphasis"/>
    <w:uiPriority w:val="20"/>
    <w:qFormat/>
    <w:rsid w:val="006F086F"/>
    <w:rPr>
      <w:i/>
      <w:iCs/>
    </w:rPr>
  </w:style>
  <w:style w:type="paragraph" w:styleId="Spistreci3">
    <w:name w:val="toc 3"/>
    <w:basedOn w:val="Normalny"/>
    <w:next w:val="Normalny"/>
    <w:autoRedefine/>
    <w:uiPriority w:val="39"/>
    <w:unhideWhenUsed/>
    <w:rsid w:val="00274503"/>
    <w:pPr>
      <w:ind w:left="480"/>
    </w:pPr>
  </w:style>
  <w:style w:type="paragraph" w:styleId="Tekstprzypisukocowego">
    <w:name w:val="endnote text"/>
    <w:basedOn w:val="Normalny"/>
    <w:link w:val="TekstprzypisukocowegoZnak"/>
    <w:uiPriority w:val="99"/>
    <w:semiHidden/>
    <w:unhideWhenUsed/>
    <w:rsid w:val="00614D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4DEB"/>
    <w:rPr>
      <w:rFonts w:ascii="Arial" w:hAnsi="Arial"/>
      <w:lang w:eastAsia="en-US"/>
    </w:rPr>
  </w:style>
  <w:style w:type="character" w:styleId="Odwoanieprzypisukocowego">
    <w:name w:val="endnote reference"/>
    <w:basedOn w:val="Domylnaczcionkaakapitu"/>
    <w:uiPriority w:val="99"/>
    <w:semiHidden/>
    <w:unhideWhenUsed/>
    <w:rsid w:val="00614DEB"/>
    <w:rPr>
      <w:vertAlign w:val="superscript"/>
    </w:rPr>
  </w:style>
  <w:style w:type="character" w:customStyle="1" w:styleId="uv3um">
    <w:name w:val="uv3um"/>
    <w:basedOn w:val="Domylnaczcionkaakapitu"/>
    <w:rsid w:val="00314074"/>
  </w:style>
  <w:style w:type="paragraph" w:customStyle="1" w:styleId="Normalny2">
    <w:name w:val="Normalny2"/>
    <w:basedOn w:val="Normalny"/>
    <w:rsid w:val="007D0568"/>
    <w:pPr>
      <w:spacing w:before="100" w:beforeAutospacing="1" w:after="100" w:afterAutospacing="1" w:line="240" w:lineRule="auto"/>
    </w:pPr>
    <w:rPr>
      <w:rFonts w:ascii="Times New Roman" w:eastAsia="Times New Roman" w:hAnsi="Times New Roman"/>
      <w:szCs w:val="24"/>
      <w:lang w:eastAsia="pl-PL"/>
    </w:rPr>
  </w:style>
  <w:style w:type="character" w:styleId="Nierozpoznanawzmianka">
    <w:name w:val="Unresolved Mention"/>
    <w:basedOn w:val="Domylnaczcionkaakapitu"/>
    <w:uiPriority w:val="99"/>
    <w:semiHidden/>
    <w:unhideWhenUsed/>
    <w:rsid w:val="00DF3B4A"/>
    <w:rPr>
      <w:color w:val="605E5C"/>
      <w:shd w:val="clear" w:color="auto" w:fill="E1DFDD"/>
    </w:rPr>
  </w:style>
  <w:style w:type="paragraph" w:customStyle="1" w:styleId="garNORM">
    <w:name w:val="garNORM"/>
    <w:basedOn w:val="Normalny"/>
    <w:link w:val="garNORMZnak"/>
    <w:qFormat/>
    <w:rsid w:val="00233A72"/>
    <w:pPr>
      <w:spacing w:before="60" w:after="60"/>
      <w:jc w:val="both"/>
    </w:pPr>
    <w:rPr>
      <w:rFonts w:ascii="Garamond" w:hAnsi="Garamond"/>
      <w:sz w:val="22"/>
    </w:rPr>
  </w:style>
  <w:style w:type="character" w:customStyle="1" w:styleId="garNORMZnak">
    <w:name w:val="garNORM Znak"/>
    <w:link w:val="garNORM"/>
    <w:rsid w:val="00233A72"/>
    <w:rPr>
      <w:rFonts w:ascii="Garamond" w:hAnsi="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947">
      <w:bodyDiv w:val="1"/>
      <w:marLeft w:val="0"/>
      <w:marRight w:val="0"/>
      <w:marTop w:val="0"/>
      <w:marBottom w:val="0"/>
      <w:divBdr>
        <w:top w:val="none" w:sz="0" w:space="0" w:color="auto"/>
        <w:left w:val="none" w:sz="0" w:space="0" w:color="auto"/>
        <w:bottom w:val="none" w:sz="0" w:space="0" w:color="auto"/>
        <w:right w:val="none" w:sz="0" w:space="0" w:color="auto"/>
      </w:divBdr>
      <w:divsChild>
        <w:div w:id="1409500758">
          <w:marLeft w:val="0"/>
          <w:marRight w:val="0"/>
          <w:marTop w:val="0"/>
          <w:marBottom w:val="0"/>
          <w:divBdr>
            <w:top w:val="none" w:sz="0" w:space="0" w:color="auto"/>
            <w:left w:val="none" w:sz="0" w:space="0" w:color="auto"/>
            <w:bottom w:val="none" w:sz="0" w:space="0" w:color="auto"/>
            <w:right w:val="none" w:sz="0" w:space="0" w:color="auto"/>
          </w:divBdr>
        </w:div>
      </w:divsChild>
    </w:div>
    <w:div w:id="27267849">
      <w:bodyDiv w:val="1"/>
      <w:marLeft w:val="0"/>
      <w:marRight w:val="0"/>
      <w:marTop w:val="0"/>
      <w:marBottom w:val="0"/>
      <w:divBdr>
        <w:top w:val="none" w:sz="0" w:space="0" w:color="auto"/>
        <w:left w:val="none" w:sz="0" w:space="0" w:color="auto"/>
        <w:bottom w:val="none" w:sz="0" w:space="0" w:color="auto"/>
        <w:right w:val="none" w:sz="0" w:space="0" w:color="auto"/>
      </w:divBdr>
    </w:div>
    <w:div w:id="71245960">
      <w:bodyDiv w:val="1"/>
      <w:marLeft w:val="0"/>
      <w:marRight w:val="0"/>
      <w:marTop w:val="0"/>
      <w:marBottom w:val="0"/>
      <w:divBdr>
        <w:top w:val="none" w:sz="0" w:space="0" w:color="auto"/>
        <w:left w:val="none" w:sz="0" w:space="0" w:color="auto"/>
        <w:bottom w:val="none" w:sz="0" w:space="0" w:color="auto"/>
        <w:right w:val="none" w:sz="0" w:space="0" w:color="auto"/>
      </w:divBdr>
    </w:div>
    <w:div w:id="102383259">
      <w:bodyDiv w:val="1"/>
      <w:marLeft w:val="0"/>
      <w:marRight w:val="0"/>
      <w:marTop w:val="0"/>
      <w:marBottom w:val="0"/>
      <w:divBdr>
        <w:top w:val="none" w:sz="0" w:space="0" w:color="auto"/>
        <w:left w:val="none" w:sz="0" w:space="0" w:color="auto"/>
        <w:bottom w:val="none" w:sz="0" w:space="0" w:color="auto"/>
        <w:right w:val="none" w:sz="0" w:space="0" w:color="auto"/>
      </w:divBdr>
    </w:div>
    <w:div w:id="125970401">
      <w:bodyDiv w:val="1"/>
      <w:marLeft w:val="0"/>
      <w:marRight w:val="0"/>
      <w:marTop w:val="0"/>
      <w:marBottom w:val="0"/>
      <w:divBdr>
        <w:top w:val="none" w:sz="0" w:space="0" w:color="auto"/>
        <w:left w:val="none" w:sz="0" w:space="0" w:color="auto"/>
        <w:bottom w:val="none" w:sz="0" w:space="0" w:color="auto"/>
        <w:right w:val="none" w:sz="0" w:space="0" w:color="auto"/>
      </w:divBdr>
    </w:div>
    <w:div w:id="252708770">
      <w:bodyDiv w:val="1"/>
      <w:marLeft w:val="0"/>
      <w:marRight w:val="0"/>
      <w:marTop w:val="0"/>
      <w:marBottom w:val="0"/>
      <w:divBdr>
        <w:top w:val="none" w:sz="0" w:space="0" w:color="auto"/>
        <w:left w:val="none" w:sz="0" w:space="0" w:color="auto"/>
        <w:bottom w:val="none" w:sz="0" w:space="0" w:color="auto"/>
        <w:right w:val="none" w:sz="0" w:space="0" w:color="auto"/>
      </w:divBdr>
    </w:div>
    <w:div w:id="263418958">
      <w:bodyDiv w:val="1"/>
      <w:marLeft w:val="0"/>
      <w:marRight w:val="0"/>
      <w:marTop w:val="0"/>
      <w:marBottom w:val="0"/>
      <w:divBdr>
        <w:top w:val="none" w:sz="0" w:space="0" w:color="auto"/>
        <w:left w:val="none" w:sz="0" w:space="0" w:color="auto"/>
        <w:bottom w:val="none" w:sz="0" w:space="0" w:color="auto"/>
        <w:right w:val="none" w:sz="0" w:space="0" w:color="auto"/>
      </w:divBdr>
    </w:div>
    <w:div w:id="266230248">
      <w:bodyDiv w:val="1"/>
      <w:marLeft w:val="0"/>
      <w:marRight w:val="0"/>
      <w:marTop w:val="0"/>
      <w:marBottom w:val="0"/>
      <w:divBdr>
        <w:top w:val="none" w:sz="0" w:space="0" w:color="auto"/>
        <w:left w:val="none" w:sz="0" w:space="0" w:color="auto"/>
        <w:bottom w:val="none" w:sz="0" w:space="0" w:color="auto"/>
        <w:right w:val="none" w:sz="0" w:space="0" w:color="auto"/>
      </w:divBdr>
    </w:div>
    <w:div w:id="314725933">
      <w:bodyDiv w:val="1"/>
      <w:marLeft w:val="0"/>
      <w:marRight w:val="0"/>
      <w:marTop w:val="0"/>
      <w:marBottom w:val="0"/>
      <w:divBdr>
        <w:top w:val="none" w:sz="0" w:space="0" w:color="auto"/>
        <w:left w:val="none" w:sz="0" w:space="0" w:color="auto"/>
        <w:bottom w:val="none" w:sz="0" w:space="0" w:color="auto"/>
        <w:right w:val="none" w:sz="0" w:space="0" w:color="auto"/>
      </w:divBdr>
    </w:div>
    <w:div w:id="321935368">
      <w:bodyDiv w:val="1"/>
      <w:marLeft w:val="0"/>
      <w:marRight w:val="0"/>
      <w:marTop w:val="0"/>
      <w:marBottom w:val="0"/>
      <w:divBdr>
        <w:top w:val="none" w:sz="0" w:space="0" w:color="auto"/>
        <w:left w:val="none" w:sz="0" w:space="0" w:color="auto"/>
        <w:bottom w:val="none" w:sz="0" w:space="0" w:color="auto"/>
        <w:right w:val="none" w:sz="0" w:space="0" w:color="auto"/>
      </w:divBdr>
      <w:divsChild>
        <w:div w:id="8214948">
          <w:marLeft w:val="0"/>
          <w:marRight w:val="0"/>
          <w:marTop w:val="0"/>
          <w:marBottom w:val="0"/>
          <w:divBdr>
            <w:top w:val="none" w:sz="0" w:space="0" w:color="auto"/>
            <w:left w:val="none" w:sz="0" w:space="0" w:color="auto"/>
            <w:bottom w:val="none" w:sz="0" w:space="0" w:color="auto"/>
            <w:right w:val="none" w:sz="0" w:space="0" w:color="auto"/>
          </w:divBdr>
        </w:div>
      </w:divsChild>
    </w:div>
    <w:div w:id="344216308">
      <w:bodyDiv w:val="1"/>
      <w:marLeft w:val="0"/>
      <w:marRight w:val="0"/>
      <w:marTop w:val="0"/>
      <w:marBottom w:val="0"/>
      <w:divBdr>
        <w:top w:val="none" w:sz="0" w:space="0" w:color="auto"/>
        <w:left w:val="none" w:sz="0" w:space="0" w:color="auto"/>
        <w:bottom w:val="none" w:sz="0" w:space="0" w:color="auto"/>
        <w:right w:val="none" w:sz="0" w:space="0" w:color="auto"/>
      </w:divBdr>
    </w:div>
    <w:div w:id="389231422">
      <w:bodyDiv w:val="1"/>
      <w:marLeft w:val="0"/>
      <w:marRight w:val="0"/>
      <w:marTop w:val="0"/>
      <w:marBottom w:val="0"/>
      <w:divBdr>
        <w:top w:val="none" w:sz="0" w:space="0" w:color="auto"/>
        <w:left w:val="none" w:sz="0" w:space="0" w:color="auto"/>
        <w:bottom w:val="none" w:sz="0" w:space="0" w:color="auto"/>
        <w:right w:val="none" w:sz="0" w:space="0" w:color="auto"/>
      </w:divBdr>
    </w:div>
    <w:div w:id="411661614">
      <w:bodyDiv w:val="1"/>
      <w:marLeft w:val="0"/>
      <w:marRight w:val="0"/>
      <w:marTop w:val="0"/>
      <w:marBottom w:val="0"/>
      <w:divBdr>
        <w:top w:val="none" w:sz="0" w:space="0" w:color="auto"/>
        <w:left w:val="none" w:sz="0" w:space="0" w:color="auto"/>
        <w:bottom w:val="none" w:sz="0" w:space="0" w:color="auto"/>
        <w:right w:val="none" w:sz="0" w:space="0" w:color="auto"/>
      </w:divBdr>
      <w:divsChild>
        <w:div w:id="97258301">
          <w:marLeft w:val="0"/>
          <w:marRight w:val="0"/>
          <w:marTop w:val="0"/>
          <w:marBottom w:val="0"/>
          <w:divBdr>
            <w:top w:val="none" w:sz="0" w:space="0" w:color="auto"/>
            <w:left w:val="none" w:sz="0" w:space="0" w:color="auto"/>
            <w:bottom w:val="none" w:sz="0" w:space="0" w:color="auto"/>
            <w:right w:val="none" w:sz="0" w:space="0" w:color="auto"/>
          </w:divBdr>
        </w:div>
        <w:div w:id="126629855">
          <w:marLeft w:val="0"/>
          <w:marRight w:val="0"/>
          <w:marTop w:val="0"/>
          <w:marBottom w:val="0"/>
          <w:divBdr>
            <w:top w:val="none" w:sz="0" w:space="0" w:color="auto"/>
            <w:left w:val="none" w:sz="0" w:space="0" w:color="auto"/>
            <w:bottom w:val="none" w:sz="0" w:space="0" w:color="auto"/>
            <w:right w:val="none" w:sz="0" w:space="0" w:color="auto"/>
          </w:divBdr>
        </w:div>
        <w:div w:id="450128356">
          <w:marLeft w:val="0"/>
          <w:marRight w:val="0"/>
          <w:marTop w:val="0"/>
          <w:marBottom w:val="0"/>
          <w:divBdr>
            <w:top w:val="none" w:sz="0" w:space="0" w:color="auto"/>
            <w:left w:val="none" w:sz="0" w:space="0" w:color="auto"/>
            <w:bottom w:val="none" w:sz="0" w:space="0" w:color="auto"/>
            <w:right w:val="none" w:sz="0" w:space="0" w:color="auto"/>
          </w:divBdr>
        </w:div>
        <w:div w:id="817188799">
          <w:marLeft w:val="0"/>
          <w:marRight w:val="0"/>
          <w:marTop w:val="0"/>
          <w:marBottom w:val="0"/>
          <w:divBdr>
            <w:top w:val="none" w:sz="0" w:space="0" w:color="auto"/>
            <w:left w:val="none" w:sz="0" w:space="0" w:color="auto"/>
            <w:bottom w:val="none" w:sz="0" w:space="0" w:color="auto"/>
            <w:right w:val="none" w:sz="0" w:space="0" w:color="auto"/>
          </w:divBdr>
        </w:div>
        <w:div w:id="855769537">
          <w:marLeft w:val="0"/>
          <w:marRight w:val="0"/>
          <w:marTop w:val="0"/>
          <w:marBottom w:val="0"/>
          <w:divBdr>
            <w:top w:val="none" w:sz="0" w:space="0" w:color="auto"/>
            <w:left w:val="none" w:sz="0" w:space="0" w:color="auto"/>
            <w:bottom w:val="none" w:sz="0" w:space="0" w:color="auto"/>
            <w:right w:val="none" w:sz="0" w:space="0" w:color="auto"/>
          </w:divBdr>
        </w:div>
        <w:div w:id="867570750">
          <w:marLeft w:val="0"/>
          <w:marRight w:val="0"/>
          <w:marTop w:val="0"/>
          <w:marBottom w:val="0"/>
          <w:divBdr>
            <w:top w:val="none" w:sz="0" w:space="0" w:color="auto"/>
            <w:left w:val="none" w:sz="0" w:space="0" w:color="auto"/>
            <w:bottom w:val="none" w:sz="0" w:space="0" w:color="auto"/>
            <w:right w:val="none" w:sz="0" w:space="0" w:color="auto"/>
          </w:divBdr>
        </w:div>
        <w:div w:id="1224755527">
          <w:marLeft w:val="0"/>
          <w:marRight w:val="0"/>
          <w:marTop w:val="0"/>
          <w:marBottom w:val="0"/>
          <w:divBdr>
            <w:top w:val="none" w:sz="0" w:space="0" w:color="auto"/>
            <w:left w:val="none" w:sz="0" w:space="0" w:color="auto"/>
            <w:bottom w:val="none" w:sz="0" w:space="0" w:color="auto"/>
            <w:right w:val="none" w:sz="0" w:space="0" w:color="auto"/>
          </w:divBdr>
        </w:div>
        <w:div w:id="1975407478">
          <w:marLeft w:val="0"/>
          <w:marRight w:val="0"/>
          <w:marTop w:val="0"/>
          <w:marBottom w:val="0"/>
          <w:divBdr>
            <w:top w:val="none" w:sz="0" w:space="0" w:color="auto"/>
            <w:left w:val="none" w:sz="0" w:space="0" w:color="auto"/>
            <w:bottom w:val="none" w:sz="0" w:space="0" w:color="auto"/>
            <w:right w:val="none" w:sz="0" w:space="0" w:color="auto"/>
          </w:divBdr>
        </w:div>
        <w:div w:id="2093811456">
          <w:marLeft w:val="0"/>
          <w:marRight w:val="0"/>
          <w:marTop w:val="0"/>
          <w:marBottom w:val="0"/>
          <w:divBdr>
            <w:top w:val="none" w:sz="0" w:space="0" w:color="auto"/>
            <w:left w:val="none" w:sz="0" w:space="0" w:color="auto"/>
            <w:bottom w:val="none" w:sz="0" w:space="0" w:color="auto"/>
            <w:right w:val="none" w:sz="0" w:space="0" w:color="auto"/>
          </w:divBdr>
        </w:div>
        <w:div w:id="2145924357">
          <w:marLeft w:val="0"/>
          <w:marRight w:val="0"/>
          <w:marTop w:val="0"/>
          <w:marBottom w:val="0"/>
          <w:divBdr>
            <w:top w:val="none" w:sz="0" w:space="0" w:color="auto"/>
            <w:left w:val="none" w:sz="0" w:space="0" w:color="auto"/>
            <w:bottom w:val="none" w:sz="0" w:space="0" w:color="auto"/>
            <w:right w:val="none" w:sz="0" w:space="0" w:color="auto"/>
          </w:divBdr>
        </w:div>
      </w:divsChild>
    </w:div>
    <w:div w:id="421756701">
      <w:bodyDiv w:val="1"/>
      <w:marLeft w:val="0"/>
      <w:marRight w:val="0"/>
      <w:marTop w:val="0"/>
      <w:marBottom w:val="0"/>
      <w:divBdr>
        <w:top w:val="none" w:sz="0" w:space="0" w:color="auto"/>
        <w:left w:val="none" w:sz="0" w:space="0" w:color="auto"/>
        <w:bottom w:val="none" w:sz="0" w:space="0" w:color="auto"/>
        <w:right w:val="none" w:sz="0" w:space="0" w:color="auto"/>
      </w:divBdr>
      <w:divsChild>
        <w:div w:id="130054216">
          <w:marLeft w:val="0"/>
          <w:marRight w:val="0"/>
          <w:marTop w:val="0"/>
          <w:marBottom w:val="0"/>
          <w:divBdr>
            <w:top w:val="none" w:sz="0" w:space="0" w:color="auto"/>
            <w:left w:val="none" w:sz="0" w:space="0" w:color="auto"/>
            <w:bottom w:val="none" w:sz="0" w:space="0" w:color="auto"/>
            <w:right w:val="none" w:sz="0" w:space="0" w:color="auto"/>
          </w:divBdr>
        </w:div>
        <w:div w:id="1970940984">
          <w:marLeft w:val="0"/>
          <w:marRight w:val="0"/>
          <w:marTop w:val="0"/>
          <w:marBottom w:val="0"/>
          <w:divBdr>
            <w:top w:val="none" w:sz="0" w:space="0" w:color="auto"/>
            <w:left w:val="none" w:sz="0" w:space="0" w:color="auto"/>
            <w:bottom w:val="none" w:sz="0" w:space="0" w:color="auto"/>
            <w:right w:val="none" w:sz="0" w:space="0" w:color="auto"/>
          </w:divBdr>
        </w:div>
      </w:divsChild>
    </w:div>
    <w:div w:id="440343759">
      <w:bodyDiv w:val="1"/>
      <w:marLeft w:val="0"/>
      <w:marRight w:val="0"/>
      <w:marTop w:val="0"/>
      <w:marBottom w:val="0"/>
      <w:divBdr>
        <w:top w:val="none" w:sz="0" w:space="0" w:color="auto"/>
        <w:left w:val="none" w:sz="0" w:space="0" w:color="auto"/>
        <w:bottom w:val="none" w:sz="0" w:space="0" w:color="auto"/>
        <w:right w:val="none" w:sz="0" w:space="0" w:color="auto"/>
      </w:divBdr>
    </w:div>
    <w:div w:id="453256443">
      <w:bodyDiv w:val="1"/>
      <w:marLeft w:val="0"/>
      <w:marRight w:val="0"/>
      <w:marTop w:val="0"/>
      <w:marBottom w:val="0"/>
      <w:divBdr>
        <w:top w:val="none" w:sz="0" w:space="0" w:color="auto"/>
        <w:left w:val="none" w:sz="0" w:space="0" w:color="auto"/>
        <w:bottom w:val="none" w:sz="0" w:space="0" w:color="auto"/>
        <w:right w:val="none" w:sz="0" w:space="0" w:color="auto"/>
      </w:divBdr>
      <w:divsChild>
        <w:div w:id="2076051968">
          <w:marLeft w:val="0"/>
          <w:marRight w:val="0"/>
          <w:marTop w:val="0"/>
          <w:marBottom w:val="0"/>
          <w:divBdr>
            <w:top w:val="none" w:sz="0" w:space="0" w:color="auto"/>
            <w:left w:val="none" w:sz="0" w:space="0" w:color="auto"/>
            <w:bottom w:val="none" w:sz="0" w:space="0" w:color="auto"/>
            <w:right w:val="none" w:sz="0" w:space="0" w:color="auto"/>
          </w:divBdr>
          <w:divsChild>
            <w:div w:id="30150477">
              <w:marLeft w:val="0"/>
              <w:marRight w:val="0"/>
              <w:marTop w:val="0"/>
              <w:marBottom w:val="0"/>
              <w:divBdr>
                <w:top w:val="none" w:sz="0" w:space="0" w:color="auto"/>
                <w:left w:val="none" w:sz="0" w:space="0" w:color="auto"/>
                <w:bottom w:val="none" w:sz="0" w:space="0" w:color="auto"/>
                <w:right w:val="none" w:sz="0" w:space="0" w:color="auto"/>
              </w:divBdr>
            </w:div>
            <w:div w:id="167595990">
              <w:marLeft w:val="0"/>
              <w:marRight w:val="0"/>
              <w:marTop w:val="0"/>
              <w:marBottom w:val="0"/>
              <w:divBdr>
                <w:top w:val="none" w:sz="0" w:space="0" w:color="auto"/>
                <w:left w:val="none" w:sz="0" w:space="0" w:color="auto"/>
                <w:bottom w:val="none" w:sz="0" w:space="0" w:color="auto"/>
                <w:right w:val="none" w:sz="0" w:space="0" w:color="auto"/>
              </w:divBdr>
            </w:div>
            <w:div w:id="177089031">
              <w:marLeft w:val="0"/>
              <w:marRight w:val="0"/>
              <w:marTop w:val="0"/>
              <w:marBottom w:val="0"/>
              <w:divBdr>
                <w:top w:val="none" w:sz="0" w:space="0" w:color="auto"/>
                <w:left w:val="none" w:sz="0" w:space="0" w:color="auto"/>
                <w:bottom w:val="none" w:sz="0" w:space="0" w:color="auto"/>
                <w:right w:val="none" w:sz="0" w:space="0" w:color="auto"/>
              </w:divBdr>
            </w:div>
            <w:div w:id="256989979">
              <w:marLeft w:val="0"/>
              <w:marRight w:val="0"/>
              <w:marTop w:val="0"/>
              <w:marBottom w:val="0"/>
              <w:divBdr>
                <w:top w:val="none" w:sz="0" w:space="0" w:color="auto"/>
                <w:left w:val="none" w:sz="0" w:space="0" w:color="auto"/>
                <w:bottom w:val="none" w:sz="0" w:space="0" w:color="auto"/>
                <w:right w:val="none" w:sz="0" w:space="0" w:color="auto"/>
              </w:divBdr>
            </w:div>
            <w:div w:id="410665908">
              <w:marLeft w:val="0"/>
              <w:marRight w:val="0"/>
              <w:marTop w:val="0"/>
              <w:marBottom w:val="0"/>
              <w:divBdr>
                <w:top w:val="none" w:sz="0" w:space="0" w:color="auto"/>
                <w:left w:val="none" w:sz="0" w:space="0" w:color="auto"/>
                <w:bottom w:val="none" w:sz="0" w:space="0" w:color="auto"/>
                <w:right w:val="none" w:sz="0" w:space="0" w:color="auto"/>
              </w:divBdr>
            </w:div>
            <w:div w:id="737098058">
              <w:marLeft w:val="0"/>
              <w:marRight w:val="0"/>
              <w:marTop w:val="0"/>
              <w:marBottom w:val="0"/>
              <w:divBdr>
                <w:top w:val="none" w:sz="0" w:space="0" w:color="auto"/>
                <w:left w:val="none" w:sz="0" w:space="0" w:color="auto"/>
                <w:bottom w:val="none" w:sz="0" w:space="0" w:color="auto"/>
                <w:right w:val="none" w:sz="0" w:space="0" w:color="auto"/>
              </w:divBdr>
            </w:div>
            <w:div w:id="812522611">
              <w:marLeft w:val="0"/>
              <w:marRight w:val="0"/>
              <w:marTop w:val="0"/>
              <w:marBottom w:val="0"/>
              <w:divBdr>
                <w:top w:val="none" w:sz="0" w:space="0" w:color="auto"/>
                <w:left w:val="none" w:sz="0" w:space="0" w:color="auto"/>
                <w:bottom w:val="none" w:sz="0" w:space="0" w:color="auto"/>
                <w:right w:val="none" w:sz="0" w:space="0" w:color="auto"/>
              </w:divBdr>
            </w:div>
            <w:div w:id="851723189">
              <w:marLeft w:val="0"/>
              <w:marRight w:val="0"/>
              <w:marTop w:val="0"/>
              <w:marBottom w:val="0"/>
              <w:divBdr>
                <w:top w:val="none" w:sz="0" w:space="0" w:color="auto"/>
                <w:left w:val="none" w:sz="0" w:space="0" w:color="auto"/>
                <w:bottom w:val="none" w:sz="0" w:space="0" w:color="auto"/>
                <w:right w:val="none" w:sz="0" w:space="0" w:color="auto"/>
              </w:divBdr>
            </w:div>
            <w:div w:id="892884964">
              <w:marLeft w:val="0"/>
              <w:marRight w:val="0"/>
              <w:marTop w:val="0"/>
              <w:marBottom w:val="0"/>
              <w:divBdr>
                <w:top w:val="none" w:sz="0" w:space="0" w:color="auto"/>
                <w:left w:val="none" w:sz="0" w:space="0" w:color="auto"/>
                <w:bottom w:val="none" w:sz="0" w:space="0" w:color="auto"/>
                <w:right w:val="none" w:sz="0" w:space="0" w:color="auto"/>
              </w:divBdr>
            </w:div>
            <w:div w:id="933051535">
              <w:marLeft w:val="0"/>
              <w:marRight w:val="0"/>
              <w:marTop w:val="0"/>
              <w:marBottom w:val="0"/>
              <w:divBdr>
                <w:top w:val="none" w:sz="0" w:space="0" w:color="auto"/>
                <w:left w:val="none" w:sz="0" w:space="0" w:color="auto"/>
                <w:bottom w:val="none" w:sz="0" w:space="0" w:color="auto"/>
                <w:right w:val="none" w:sz="0" w:space="0" w:color="auto"/>
              </w:divBdr>
            </w:div>
            <w:div w:id="1042100330">
              <w:marLeft w:val="0"/>
              <w:marRight w:val="0"/>
              <w:marTop w:val="0"/>
              <w:marBottom w:val="0"/>
              <w:divBdr>
                <w:top w:val="none" w:sz="0" w:space="0" w:color="auto"/>
                <w:left w:val="none" w:sz="0" w:space="0" w:color="auto"/>
                <w:bottom w:val="none" w:sz="0" w:space="0" w:color="auto"/>
                <w:right w:val="none" w:sz="0" w:space="0" w:color="auto"/>
              </w:divBdr>
            </w:div>
            <w:div w:id="1087186821">
              <w:marLeft w:val="0"/>
              <w:marRight w:val="0"/>
              <w:marTop w:val="0"/>
              <w:marBottom w:val="0"/>
              <w:divBdr>
                <w:top w:val="none" w:sz="0" w:space="0" w:color="auto"/>
                <w:left w:val="none" w:sz="0" w:space="0" w:color="auto"/>
                <w:bottom w:val="none" w:sz="0" w:space="0" w:color="auto"/>
                <w:right w:val="none" w:sz="0" w:space="0" w:color="auto"/>
              </w:divBdr>
            </w:div>
            <w:div w:id="1254168760">
              <w:marLeft w:val="0"/>
              <w:marRight w:val="0"/>
              <w:marTop w:val="0"/>
              <w:marBottom w:val="0"/>
              <w:divBdr>
                <w:top w:val="none" w:sz="0" w:space="0" w:color="auto"/>
                <w:left w:val="none" w:sz="0" w:space="0" w:color="auto"/>
                <w:bottom w:val="none" w:sz="0" w:space="0" w:color="auto"/>
                <w:right w:val="none" w:sz="0" w:space="0" w:color="auto"/>
              </w:divBdr>
            </w:div>
            <w:div w:id="1311178983">
              <w:marLeft w:val="0"/>
              <w:marRight w:val="0"/>
              <w:marTop w:val="0"/>
              <w:marBottom w:val="0"/>
              <w:divBdr>
                <w:top w:val="none" w:sz="0" w:space="0" w:color="auto"/>
                <w:left w:val="none" w:sz="0" w:space="0" w:color="auto"/>
                <w:bottom w:val="none" w:sz="0" w:space="0" w:color="auto"/>
                <w:right w:val="none" w:sz="0" w:space="0" w:color="auto"/>
              </w:divBdr>
            </w:div>
            <w:div w:id="1326663022">
              <w:marLeft w:val="0"/>
              <w:marRight w:val="0"/>
              <w:marTop w:val="0"/>
              <w:marBottom w:val="0"/>
              <w:divBdr>
                <w:top w:val="none" w:sz="0" w:space="0" w:color="auto"/>
                <w:left w:val="none" w:sz="0" w:space="0" w:color="auto"/>
                <w:bottom w:val="none" w:sz="0" w:space="0" w:color="auto"/>
                <w:right w:val="none" w:sz="0" w:space="0" w:color="auto"/>
              </w:divBdr>
            </w:div>
            <w:div w:id="1494102899">
              <w:marLeft w:val="0"/>
              <w:marRight w:val="0"/>
              <w:marTop w:val="0"/>
              <w:marBottom w:val="0"/>
              <w:divBdr>
                <w:top w:val="none" w:sz="0" w:space="0" w:color="auto"/>
                <w:left w:val="none" w:sz="0" w:space="0" w:color="auto"/>
                <w:bottom w:val="none" w:sz="0" w:space="0" w:color="auto"/>
                <w:right w:val="none" w:sz="0" w:space="0" w:color="auto"/>
              </w:divBdr>
            </w:div>
            <w:div w:id="1518691513">
              <w:marLeft w:val="0"/>
              <w:marRight w:val="0"/>
              <w:marTop w:val="0"/>
              <w:marBottom w:val="0"/>
              <w:divBdr>
                <w:top w:val="none" w:sz="0" w:space="0" w:color="auto"/>
                <w:left w:val="none" w:sz="0" w:space="0" w:color="auto"/>
                <w:bottom w:val="none" w:sz="0" w:space="0" w:color="auto"/>
                <w:right w:val="none" w:sz="0" w:space="0" w:color="auto"/>
              </w:divBdr>
            </w:div>
            <w:div w:id="1540557442">
              <w:marLeft w:val="0"/>
              <w:marRight w:val="0"/>
              <w:marTop w:val="0"/>
              <w:marBottom w:val="0"/>
              <w:divBdr>
                <w:top w:val="none" w:sz="0" w:space="0" w:color="auto"/>
                <w:left w:val="none" w:sz="0" w:space="0" w:color="auto"/>
                <w:bottom w:val="none" w:sz="0" w:space="0" w:color="auto"/>
                <w:right w:val="none" w:sz="0" w:space="0" w:color="auto"/>
              </w:divBdr>
            </w:div>
            <w:div w:id="1612514796">
              <w:marLeft w:val="0"/>
              <w:marRight w:val="0"/>
              <w:marTop w:val="0"/>
              <w:marBottom w:val="0"/>
              <w:divBdr>
                <w:top w:val="none" w:sz="0" w:space="0" w:color="auto"/>
                <w:left w:val="none" w:sz="0" w:space="0" w:color="auto"/>
                <w:bottom w:val="none" w:sz="0" w:space="0" w:color="auto"/>
                <w:right w:val="none" w:sz="0" w:space="0" w:color="auto"/>
              </w:divBdr>
            </w:div>
            <w:div w:id="1634479987">
              <w:marLeft w:val="0"/>
              <w:marRight w:val="0"/>
              <w:marTop w:val="0"/>
              <w:marBottom w:val="0"/>
              <w:divBdr>
                <w:top w:val="none" w:sz="0" w:space="0" w:color="auto"/>
                <w:left w:val="none" w:sz="0" w:space="0" w:color="auto"/>
                <w:bottom w:val="none" w:sz="0" w:space="0" w:color="auto"/>
                <w:right w:val="none" w:sz="0" w:space="0" w:color="auto"/>
              </w:divBdr>
            </w:div>
            <w:div w:id="1824278280">
              <w:marLeft w:val="0"/>
              <w:marRight w:val="0"/>
              <w:marTop w:val="0"/>
              <w:marBottom w:val="0"/>
              <w:divBdr>
                <w:top w:val="none" w:sz="0" w:space="0" w:color="auto"/>
                <w:left w:val="none" w:sz="0" w:space="0" w:color="auto"/>
                <w:bottom w:val="none" w:sz="0" w:space="0" w:color="auto"/>
                <w:right w:val="none" w:sz="0" w:space="0" w:color="auto"/>
              </w:divBdr>
            </w:div>
            <w:div w:id="1901213822">
              <w:marLeft w:val="0"/>
              <w:marRight w:val="0"/>
              <w:marTop w:val="0"/>
              <w:marBottom w:val="0"/>
              <w:divBdr>
                <w:top w:val="none" w:sz="0" w:space="0" w:color="auto"/>
                <w:left w:val="none" w:sz="0" w:space="0" w:color="auto"/>
                <w:bottom w:val="none" w:sz="0" w:space="0" w:color="auto"/>
                <w:right w:val="none" w:sz="0" w:space="0" w:color="auto"/>
              </w:divBdr>
            </w:div>
            <w:div w:id="1960526803">
              <w:marLeft w:val="0"/>
              <w:marRight w:val="0"/>
              <w:marTop w:val="0"/>
              <w:marBottom w:val="0"/>
              <w:divBdr>
                <w:top w:val="none" w:sz="0" w:space="0" w:color="auto"/>
                <w:left w:val="none" w:sz="0" w:space="0" w:color="auto"/>
                <w:bottom w:val="none" w:sz="0" w:space="0" w:color="auto"/>
                <w:right w:val="none" w:sz="0" w:space="0" w:color="auto"/>
              </w:divBdr>
            </w:div>
            <w:div w:id="2044557477">
              <w:marLeft w:val="0"/>
              <w:marRight w:val="0"/>
              <w:marTop w:val="0"/>
              <w:marBottom w:val="0"/>
              <w:divBdr>
                <w:top w:val="none" w:sz="0" w:space="0" w:color="auto"/>
                <w:left w:val="none" w:sz="0" w:space="0" w:color="auto"/>
                <w:bottom w:val="none" w:sz="0" w:space="0" w:color="auto"/>
                <w:right w:val="none" w:sz="0" w:space="0" w:color="auto"/>
              </w:divBdr>
            </w:div>
            <w:div w:id="20869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17655">
      <w:bodyDiv w:val="1"/>
      <w:marLeft w:val="0"/>
      <w:marRight w:val="0"/>
      <w:marTop w:val="0"/>
      <w:marBottom w:val="0"/>
      <w:divBdr>
        <w:top w:val="none" w:sz="0" w:space="0" w:color="auto"/>
        <w:left w:val="none" w:sz="0" w:space="0" w:color="auto"/>
        <w:bottom w:val="none" w:sz="0" w:space="0" w:color="auto"/>
        <w:right w:val="none" w:sz="0" w:space="0" w:color="auto"/>
      </w:divBdr>
    </w:div>
    <w:div w:id="493690805">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3349763">
      <w:bodyDiv w:val="1"/>
      <w:marLeft w:val="0"/>
      <w:marRight w:val="0"/>
      <w:marTop w:val="0"/>
      <w:marBottom w:val="0"/>
      <w:divBdr>
        <w:top w:val="none" w:sz="0" w:space="0" w:color="auto"/>
        <w:left w:val="none" w:sz="0" w:space="0" w:color="auto"/>
        <w:bottom w:val="none" w:sz="0" w:space="0" w:color="auto"/>
        <w:right w:val="none" w:sz="0" w:space="0" w:color="auto"/>
      </w:divBdr>
    </w:div>
    <w:div w:id="561987416">
      <w:bodyDiv w:val="1"/>
      <w:marLeft w:val="0"/>
      <w:marRight w:val="0"/>
      <w:marTop w:val="0"/>
      <w:marBottom w:val="0"/>
      <w:divBdr>
        <w:top w:val="none" w:sz="0" w:space="0" w:color="auto"/>
        <w:left w:val="none" w:sz="0" w:space="0" w:color="auto"/>
        <w:bottom w:val="none" w:sz="0" w:space="0" w:color="auto"/>
        <w:right w:val="none" w:sz="0" w:space="0" w:color="auto"/>
      </w:divBdr>
    </w:div>
    <w:div w:id="600720685">
      <w:bodyDiv w:val="1"/>
      <w:marLeft w:val="0"/>
      <w:marRight w:val="0"/>
      <w:marTop w:val="0"/>
      <w:marBottom w:val="0"/>
      <w:divBdr>
        <w:top w:val="none" w:sz="0" w:space="0" w:color="auto"/>
        <w:left w:val="none" w:sz="0" w:space="0" w:color="auto"/>
        <w:bottom w:val="none" w:sz="0" w:space="0" w:color="auto"/>
        <w:right w:val="none" w:sz="0" w:space="0" w:color="auto"/>
      </w:divBdr>
    </w:div>
    <w:div w:id="677972263">
      <w:bodyDiv w:val="1"/>
      <w:marLeft w:val="0"/>
      <w:marRight w:val="0"/>
      <w:marTop w:val="0"/>
      <w:marBottom w:val="0"/>
      <w:divBdr>
        <w:top w:val="none" w:sz="0" w:space="0" w:color="auto"/>
        <w:left w:val="none" w:sz="0" w:space="0" w:color="auto"/>
        <w:bottom w:val="none" w:sz="0" w:space="0" w:color="auto"/>
        <w:right w:val="none" w:sz="0" w:space="0" w:color="auto"/>
      </w:divBdr>
    </w:div>
    <w:div w:id="720372940">
      <w:bodyDiv w:val="1"/>
      <w:marLeft w:val="0"/>
      <w:marRight w:val="0"/>
      <w:marTop w:val="0"/>
      <w:marBottom w:val="0"/>
      <w:divBdr>
        <w:top w:val="none" w:sz="0" w:space="0" w:color="auto"/>
        <w:left w:val="none" w:sz="0" w:space="0" w:color="auto"/>
        <w:bottom w:val="none" w:sz="0" w:space="0" w:color="auto"/>
        <w:right w:val="none" w:sz="0" w:space="0" w:color="auto"/>
      </w:divBdr>
    </w:div>
    <w:div w:id="724454111">
      <w:bodyDiv w:val="1"/>
      <w:marLeft w:val="0"/>
      <w:marRight w:val="0"/>
      <w:marTop w:val="0"/>
      <w:marBottom w:val="0"/>
      <w:divBdr>
        <w:top w:val="none" w:sz="0" w:space="0" w:color="auto"/>
        <w:left w:val="none" w:sz="0" w:space="0" w:color="auto"/>
        <w:bottom w:val="none" w:sz="0" w:space="0" w:color="auto"/>
        <w:right w:val="none" w:sz="0" w:space="0" w:color="auto"/>
      </w:divBdr>
      <w:divsChild>
        <w:div w:id="1206484577">
          <w:marLeft w:val="0"/>
          <w:marRight w:val="0"/>
          <w:marTop w:val="0"/>
          <w:marBottom w:val="0"/>
          <w:divBdr>
            <w:top w:val="none" w:sz="0" w:space="0" w:color="auto"/>
            <w:left w:val="none" w:sz="0" w:space="0" w:color="auto"/>
            <w:bottom w:val="none" w:sz="0" w:space="0" w:color="auto"/>
            <w:right w:val="none" w:sz="0" w:space="0" w:color="auto"/>
          </w:divBdr>
        </w:div>
        <w:div w:id="1445419279">
          <w:marLeft w:val="0"/>
          <w:marRight w:val="0"/>
          <w:marTop w:val="0"/>
          <w:marBottom w:val="0"/>
          <w:divBdr>
            <w:top w:val="none" w:sz="0" w:space="0" w:color="auto"/>
            <w:left w:val="none" w:sz="0" w:space="0" w:color="auto"/>
            <w:bottom w:val="none" w:sz="0" w:space="0" w:color="auto"/>
            <w:right w:val="none" w:sz="0" w:space="0" w:color="auto"/>
          </w:divBdr>
        </w:div>
        <w:div w:id="1866677978">
          <w:marLeft w:val="0"/>
          <w:marRight w:val="0"/>
          <w:marTop w:val="0"/>
          <w:marBottom w:val="0"/>
          <w:divBdr>
            <w:top w:val="none" w:sz="0" w:space="0" w:color="auto"/>
            <w:left w:val="none" w:sz="0" w:space="0" w:color="auto"/>
            <w:bottom w:val="none" w:sz="0" w:space="0" w:color="auto"/>
            <w:right w:val="none" w:sz="0" w:space="0" w:color="auto"/>
          </w:divBdr>
        </w:div>
      </w:divsChild>
    </w:div>
    <w:div w:id="765615794">
      <w:bodyDiv w:val="1"/>
      <w:marLeft w:val="0"/>
      <w:marRight w:val="0"/>
      <w:marTop w:val="0"/>
      <w:marBottom w:val="0"/>
      <w:divBdr>
        <w:top w:val="none" w:sz="0" w:space="0" w:color="auto"/>
        <w:left w:val="none" w:sz="0" w:space="0" w:color="auto"/>
        <w:bottom w:val="none" w:sz="0" w:space="0" w:color="auto"/>
        <w:right w:val="none" w:sz="0" w:space="0" w:color="auto"/>
      </w:divBdr>
      <w:divsChild>
        <w:div w:id="146560849">
          <w:marLeft w:val="0"/>
          <w:marRight w:val="0"/>
          <w:marTop w:val="0"/>
          <w:marBottom w:val="0"/>
          <w:divBdr>
            <w:top w:val="none" w:sz="0" w:space="0" w:color="auto"/>
            <w:left w:val="none" w:sz="0" w:space="0" w:color="auto"/>
            <w:bottom w:val="none" w:sz="0" w:space="0" w:color="auto"/>
            <w:right w:val="none" w:sz="0" w:space="0" w:color="auto"/>
          </w:divBdr>
        </w:div>
        <w:div w:id="297230063">
          <w:marLeft w:val="0"/>
          <w:marRight w:val="0"/>
          <w:marTop w:val="0"/>
          <w:marBottom w:val="0"/>
          <w:divBdr>
            <w:top w:val="none" w:sz="0" w:space="0" w:color="auto"/>
            <w:left w:val="none" w:sz="0" w:space="0" w:color="auto"/>
            <w:bottom w:val="none" w:sz="0" w:space="0" w:color="auto"/>
            <w:right w:val="none" w:sz="0" w:space="0" w:color="auto"/>
          </w:divBdr>
        </w:div>
        <w:div w:id="476461541">
          <w:marLeft w:val="0"/>
          <w:marRight w:val="0"/>
          <w:marTop w:val="0"/>
          <w:marBottom w:val="0"/>
          <w:divBdr>
            <w:top w:val="none" w:sz="0" w:space="0" w:color="auto"/>
            <w:left w:val="none" w:sz="0" w:space="0" w:color="auto"/>
            <w:bottom w:val="none" w:sz="0" w:space="0" w:color="auto"/>
            <w:right w:val="none" w:sz="0" w:space="0" w:color="auto"/>
          </w:divBdr>
        </w:div>
        <w:div w:id="596330691">
          <w:marLeft w:val="0"/>
          <w:marRight w:val="0"/>
          <w:marTop w:val="0"/>
          <w:marBottom w:val="0"/>
          <w:divBdr>
            <w:top w:val="none" w:sz="0" w:space="0" w:color="auto"/>
            <w:left w:val="none" w:sz="0" w:space="0" w:color="auto"/>
            <w:bottom w:val="none" w:sz="0" w:space="0" w:color="auto"/>
            <w:right w:val="none" w:sz="0" w:space="0" w:color="auto"/>
          </w:divBdr>
        </w:div>
        <w:div w:id="665282956">
          <w:marLeft w:val="0"/>
          <w:marRight w:val="0"/>
          <w:marTop w:val="0"/>
          <w:marBottom w:val="0"/>
          <w:divBdr>
            <w:top w:val="none" w:sz="0" w:space="0" w:color="auto"/>
            <w:left w:val="none" w:sz="0" w:space="0" w:color="auto"/>
            <w:bottom w:val="none" w:sz="0" w:space="0" w:color="auto"/>
            <w:right w:val="none" w:sz="0" w:space="0" w:color="auto"/>
          </w:divBdr>
        </w:div>
        <w:div w:id="688069166">
          <w:marLeft w:val="0"/>
          <w:marRight w:val="0"/>
          <w:marTop w:val="0"/>
          <w:marBottom w:val="0"/>
          <w:divBdr>
            <w:top w:val="none" w:sz="0" w:space="0" w:color="auto"/>
            <w:left w:val="none" w:sz="0" w:space="0" w:color="auto"/>
            <w:bottom w:val="none" w:sz="0" w:space="0" w:color="auto"/>
            <w:right w:val="none" w:sz="0" w:space="0" w:color="auto"/>
          </w:divBdr>
        </w:div>
        <w:div w:id="747463518">
          <w:marLeft w:val="0"/>
          <w:marRight w:val="0"/>
          <w:marTop w:val="0"/>
          <w:marBottom w:val="0"/>
          <w:divBdr>
            <w:top w:val="none" w:sz="0" w:space="0" w:color="auto"/>
            <w:left w:val="none" w:sz="0" w:space="0" w:color="auto"/>
            <w:bottom w:val="none" w:sz="0" w:space="0" w:color="auto"/>
            <w:right w:val="none" w:sz="0" w:space="0" w:color="auto"/>
          </w:divBdr>
        </w:div>
        <w:div w:id="1121848056">
          <w:marLeft w:val="0"/>
          <w:marRight w:val="0"/>
          <w:marTop w:val="0"/>
          <w:marBottom w:val="0"/>
          <w:divBdr>
            <w:top w:val="none" w:sz="0" w:space="0" w:color="auto"/>
            <w:left w:val="none" w:sz="0" w:space="0" w:color="auto"/>
            <w:bottom w:val="none" w:sz="0" w:space="0" w:color="auto"/>
            <w:right w:val="none" w:sz="0" w:space="0" w:color="auto"/>
          </w:divBdr>
        </w:div>
        <w:div w:id="1121875435">
          <w:marLeft w:val="0"/>
          <w:marRight w:val="0"/>
          <w:marTop w:val="0"/>
          <w:marBottom w:val="0"/>
          <w:divBdr>
            <w:top w:val="none" w:sz="0" w:space="0" w:color="auto"/>
            <w:left w:val="none" w:sz="0" w:space="0" w:color="auto"/>
            <w:bottom w:val="none" w:sz="0" w:space="0" w:color="auto"/>
            <w:right w:val="none" w:sz="0" w:space="0" w:color="auto"/>
          </w:divBdr>
        </w:div>
        <w:div w:id="1177766645">
          <w:marLeft w:val="0"/>
          <w:marRight w:val="0"/>
          <w:marTop w:val="0"/>
          <w:marBottom w:val="0"/>
          <w:divBdr>
            <w:top w:val="none" w:sz="0" w:space="0" w:color="auto"/>
            <w:left w:val="none" w:sz="0" w:space="0" w:color="auto"/>
            <w:bottom w:val="none" w:sz="0" w:space="0" w:color="auto"/>
            <w:right w:val="none" w:sz="0" w:space="0" w:color="auto"/>
          </w:divBdr>
        </w:div>
        <w:div w:id="1306198148">
          <w:marLeft w:val="0"/>
          <w:marRight w:val="0"/>
          <w:marTop w:val="0"/>
          <w:marBottom w:val="0"/>
          <w:divBdr>
            <w:top w:val="none" w:sz="0" w:space="0" w:color="auto"/>
            <w:left w:val="none" w:sz="0" w:space="0" w:color="auto"/>
            <w:bottom w:val="none" w:sz="0" w:space="0" w:color="auto"/>
            <w:right w:val="none" w:sz="0" w:space="0" w:color="auto"/>
          </w:divBdr>
        </w:div>
        <w:div w:id="1395734500">
          <w:marLeft w:val="0"/>
          <w:marRight w:val="0"/>
          <w:marTop w:val="0"/>
          <w:marBottom w:val="0"/>
          <w:divBdr>
            <w:top w:val="none" w:sz="0" w:space="0" w:color="auto"/>
            <w:left w:val="none" w:sz="0" w:space="0" w:color="auto"/>
            <w:bottom w:val="none" w:sz="0" w:space="0" w:color="auto"/>
            <w:right w:val="none" w:sz="0" w:space="0" w:color="auto"/>
          </w:divBdr>
        </w:div>
        <w:div w:id="1436825541">
          <w:marLeft w:val="0"/>
          <w:marRight w:val="0"/>
          <w:marTop w:val="0"/>
          <w:marBottom w:val="0"/>
          <w:divBdr>
            <w:top w:val="none" w:sz="0" w:space="0" w:color="auto"/>
            <w:left w:val="none" w:sz="0" w:space="0" w:color="auto"/>
            <w:bottom w:val="none" w:sz="0" w:space="0" w:color="auto"/>
            <w:right w:val="none" w:sz="0" w:space="0" w:color="auto"/>
          </w:divBdr>
        </w:div>
        <w:div w:id="1522552665">
          <w:marLeft w:val="0"/>
          <w:marRight w:val="0"/>
          <w:marTop w:val="0"/>
          <w:marBottom w:val="0"/>
          <w:divBdr>
            <w:top w:val="none" w:sz="0" w:space="0" w:color="auto"/>
            <w:left w:val="none" w:sz="0" w:space="0" w:color="auto"/>
            <w:bottom w:val="none" w:sz="0" w:space="0" w:color="auto"/>
            <w:right w:val="none" w:sz="0" w:space="0" w:color="auto"/>
          </w:divBdr>
        </w:div>
        <w:div w:id="1737317091">
          <w:marLeft w:val="0"/>
          <w:marRight w:val="0"/>
          <w:marTop w:val="0"/>
          <w:marBottom w:val="0"/>
          <w:divBdr>
            <w:top w:val="none" w:sz="0" w:space="0" w:color="auto"/>
            <w:left w:val="none" w:sz="0" w:space="0" w:color="auto"/>
            <w:bottom w:val="none" w:sz="0" w:space="0" w:color="auto"/>
            <w:right w:val="none" w:sz="0" w:space="0" w:color="auto"/>
          </w:divBdr>
        </w:div>
        <w:div w:id="1931817889">
          <w:marLeft w:val="0"/>
          <w:marRight w:val="0"/>
          <w:marTop w:val="0"/>
          <w:marBottom w:val="0"/>
          <w:divBdr>
            <w:top w:val="none" w:sz="0" w:space="0" w:color="auto"/>
            <w:left w:val="none" w:sz="0" w:space="0" w:color="auto"/>
            <w:bottom w:val="none" w:sz="0" w:space="0" w:color="auto"/>
            <w:right w:val="none" w:sz="0" w:space="0" w:color="auto"/>
          </w:divBdr>
        </w:div>
      </w:divsChild>
    </w:div>
    <w:div w:id="780762745">
      <w:bodyDiv w:val="1"/>
      <w:marLeft w:val="0"/>
      <w:marRight w:val="0"/>
      <w:marTop w:val="0"/>
      <w:marBottom w:val="0"/>
      <w:divBdr>
        <w:top w:val="none" w:sz="0" w:space="0" w:color="auto"/>
        <w:left w:val="none" w:sz="0" w:space="0" w:color="auto"/>
        <w:bottom w:val="none" w:sz="0" w:space="0" w:color="auto"/>
        <w:right w:val="none" w:sz="0" w:space="0" w:color="auto"/>
      </w:divBdr>
    </w:div>
    <w:div w:id="791628189">
      <w:bodyDiv w:val="1"/>
      <w:marLeft w:val="0"/>
      <w:marRight w:val="0"/>
      <w:marTop w:val="0"/>
      <w:marBottom w:val="0"/>
      <w:divBdr>
        <w:top w:val="none" w:sz="0" w:space="0" w:color="auto"/>
        <w:left w:val="none" w:sz="0" w:space="0" w:color="auto"/>
        <w:bottom w:val="none" w:sz="0" w:space="0" w:color="auto"/>
        <w:right w:val="none" w:sz="0" w:space="0" w:color="auto"/>
      </w:divBdr>
    </w:div>
    <w:div w:id="841746224">
      <w:bodyDiv w:val="1"/>
      <w:marLeft w:val="0"/>
      <w:marRight w:val="0"/>
      <w:marTop w:val="0"/>
      <w:marBottom w:val="0"/>
      <w:divBdr>
        <w:top w:val="none" w:sz="0" w:space="0" w:color="auto"/>
        <w:left w:val="none" w:sz="0" w:space="0" w:color="auto"/>
        <w:bottom w:val="none" w:sz="0" w:space="0" w:color="auto"/>
        <w:right w:val="none" w:sz="0" w:space="0" w:color="auto"/>
      </w:divBdr>
    </w:div>
    <w:div w:id="871305597">
      <w:bodyDiv w:val="1"/>
      <w:marLeft w:val="0"/>
      <w:marRight w:val="0"/>
      <w:marTop w:val="0"/>
      <w:marBottom w:val="0"/>
      <w:divBdr>
        <w:top w:val="none" w:sz="0" w:space="0" w:color="auto"/>
        <w:left w:val="none" w:sz="0" w:space="0" w:color="auto"/>
        <w:bottom w:val="none" w:sz="0" w:space="0" w:color="auto"/>
        <w:right w:val="none" w:sz="0" w:space="0" w:color="auto"/>
      </w:divBdr>
    </w:div>
    <w:div w:id="877162523">
      <w:bodyDiv w:val="1"/>
      <w:marLeft w:val="0"/>
      <w:marRight w:val="0"/>
      <w:marTop w:val="0"/>
      <w:marBottom w:val="0"/>
      <w:divBdr>
        <w:top w:val="none" w:sz="0" w:space="0" w:color="auto"/>
        <w:left w:val="none" w:sz="0" w:space="0" w:color="auto"/>
        <w:bottom w:val="none" w:sz="0" w:space="0" w:color="auto"/>
        <w:right w:val="none" w:sz="0" w:space="0" w:color="auto"/>
      </w:divBdr>
      <w:divsChild>
        <w:div w:id="1777090786">
          <w:marLeft w:val="0"/>
          <w:marRight w:val="0"/>
          <w:marTop w:val="0"/>
          <w:marBottom w:val="0"/>
          <w:divBdr>
            <w:top w:val="none" w:sz="0" w:space="0" w:color="auto"/>
            <w:left w:val="none" w:sz="0" w:space="0" w:color="auto"/>
            <w:bottom w:val="none" w:sz="0" w:space="0" w:color="auto"/>
            <w:right w:val="none" w:sz="0" w:space="0" w:color="auto"/>
          </w:divBdr>
        </w:div>
      </w:divsChild>
    </w:div>
    <w:div w:id="895892046">
      <w:bodyDiv w:val="1"/>
      <w:marLeft w:val="0"/>
      <w:marRight w:val="0"/>
      <w:marTop w:val="0"/>
      <w:marBottom w:val="0"/>
      <w:divBdr>
        <w:top w:val="none" w:sz="0" w:space="0" w:color="auto"/>
        <w:left w:val="none" w:sz="0" w:space="0" w:color="auto"/>
        <w:bottom w:val="none" w:sz="0" w:space="0" w:color="auto"/>
        <w:right w:val="none" w:sz="0" w:space="0" w:color="auto"/>
      </w:divBdr>
    </w:div>
    <w:div w:id="901600931">
      <w:bodyDiv w:val="1"/>
      <w:marLeft w:val="0"/>
      <w:marRight w:val="0"/>
      <w:marTop w:val="0"/>
      <w:marBottom w:val="0"/>
      <w:divBdr>
        <w:top w:val="none" w:sz="0" w:space="0" w:color="auto"/>
        <w:left w:val="none" w:sz="0" w:space="0" w:color="auto"/>
        <w:bottom w:val="none" w:sz="0" w:space="0" w:color="auto"/>
        <w:right w:val="none" w:sz="0" w:space="0" w:color="auto"/>
      </w:divBdr>
    </w:div>
    <w:div w:id="971835812">
      <w:bodyDiv w:val="1"/>
      <w:marLeft w:val="0"/>
      <w:marRight w:val="0"/>
      <w:marTop w:val="0"/>
      <w:marBottom w:val="0"/>
      <w:divBdr>
        <w:top w:val="none" w:sz="0" w:space="0" w:color="auto"/>
        <w:left w:val="none" w:sz="0" w:space="0" w:color="auto"/>
        <w:bottom w:val="none" w:sz="0" w:space="0" w:color="auto"/>
        <w:right w:val="none" w:sz="0" w:space="0" w:color="auto"/>
      </w:divBdr>
      <w:divsChild>
        <w:div w:id="2112968708">
          <w:marLeft w:val="0"/>
          <w:marRight w:val="0"/>
          <w:marTop w:val="0"/>
          <w:marBottom w:val="0"/>
          <w:divBdr>
            <w:top w:val="none" w:sz="0" w:space="0" w:color="auto"/>
            <w:left w:val="none" w:sz="0" w:space="0" w:color="auto"/>
            <w:bottom w:val="none" w:sz="0" w:space="0" w:color="auto"/>
            <w:right w:val="none" w:sz="0" w:space="0" w:color="auto"/>
          </w:divBdr>
        </w:div>
      </w:divsChild>
    </w:div>
    <w:div w:id="973868451">
      <w:bodyDiv w:val="1"/>
      <w:marLeft w:val="0"/>
      <w:marRight w:val="0"/>
      <w:marTop w:val="0"/>
      <w:marBottom w:val="0"/>
      <w:divBdr>
        <w:top w:val="none" w:sz="0" w:space="0" w:color="auto"/>
        <w:left w:val="none" w:sz="0" w:space="0" w:color="auto"/>
        <w:bottom w:val="none" w:sz="0" w:space="0" w:color="auto"/>
        <w:right w:val="none" w:sz="0" w:space="0" w:color="auto"/>
      </w:divBdr>
    </w:div>
    <w:div w:id="980496011">
      <w:bodyDiv w:val="1"/>
      <w:marLeft w:val="0"/>
      <w:marRight w:val="0"/>
      <w:marTop w:val="0"/>
      <w:marBottom w:val="0"/>
      <w:divBdr>
        <w:top w:val="none" w:sz="0" w:space="0" w:color="auto"/>
        <w:left w:val="none" w:sz="0" w:space="0" w:color="auto"/>
        <w:bottom w:val="none" w:sz="0" w:space="0" w:color="auto"/>
        <w:right w:val="none" w:sz="0" w:space="0" w:color="auto"/>
      </w:divBdr>
    </w:div>
    <w:div w:id="1045443173">
      <w:bodyDiv w:val="1"/>
      <w:marLeft w:val="0"/>
      <w:marRight w:val="0"/>
      <w:marTop w:val="0"/>
      <w:marBottom w:val="0"/>
      <w:divBdr>
        <w:top w:val="none" w:sz="0" w:space="0" w:color="auto"/>
        <w:left w:val="none" w:sz="0" w:space="0" w:color="auto"/>
        <w:bottom w:val="none" w:sz="0" w:space="0" w:color="auto"/>
        <w:right w:val="none" w:sz="0" w:space="0" w:color="auto"/>
      </w:divBdr>
    </w:div>
    <w:div w:id="1050880396">
      <w:bodyDiv w:val="1"/>
      <w:marLeft w:val="0"/>
      <w:marRight w:val="0"/>
      <w:marTop w:val="0"/>
      <w:marBottom w:val="0"/>
      <w:divBdr>
        <w:top w:val="none" w:sz="0" w:space="0" w:color="auto"/>
        <w:left w:val="none" w:sz="0" w:space="0" w:color="auto"/>
        <w:bottom w:val="none" w:sz="0" w:space="0" w:color="auto"/>
        <w:right w:val="none" w:sz="0" w:space="0" w:color="auto"/>
      </w:divBdr>
    </w:div>
    <w:div w:id="1214342121">
      <w:bodyDiv w:val="1"/>
      <w:marLeft w:val="0"/>
      <w:marRight w:val="0"/>
      <w:marTop w:val="0"/>
      <w:marBottom w:val="0"/>
      <w:divBdr>
        <w:top w:val="none" w:sz="0" w:space="0" w:color="auto"/>
        <w:left w:val="none" w:sz="0" w:space="0" w:color="auto"/>
        <w:bottom w:val="none" w:sz="0" w:space="0" w:color="auto"/>
        <w:right w:val="none" w:sz="0" w:space="0" w:color="auto"/>
      </w:divBdr>
      <w:divsChild>
        <w:div w:id="1321871">
          <w:marLeft w:val="0"/>
          <w:marRight w:val="0"/>
          <w:marTop w:val="0"/>
          <w:marBottom w:val="0"/>
          <w:divBdr>
            <w:top w:val="none" w:sz="0" w:space="0" w:color="auto"/>
            <w:left w:val="none" w:sz="0" w:space="0" w:color="auto"/>
            <w:bottom w:val="none" w:sz="0" w:space="0" w:color="auto"/>
            <w:right w:val="none" w:sz="0" w:space="0" w:color="auto"/>
          </w:divBdr>
        </w:div>
        <w:div w:id="128862729">
          <w:marLeft w:val="0"/>
          <w:marRight w:val="0"/>
          <w:marTop w:val="0"/>
          <w:marBottom w:val="0"/>
          <w:divBdr>
            <w:top w:val="none" w:sz="0" w:space="0" w:color="auto"/>
            <w:left w:val="none" w:sz="0" w:space="0" w:color="auto"/>
            <w:bottom w:val="none" w:sz="0" w:space="0" w:color="auto"/>
            <w:right w:val="none" w:sz="0" w:space="0" w:color="auto"/>
          </w:divBdr>
        </w:div>
        <w:div w:id="296492609">
          <w:marLeft w:val="0"/>
          <w:marRight w:val="0"/>
          <w:marTop w:val="0"/>
          <w:marBottom w:val="0"/>
          <w:divBdr>
            <w:top w:val="none" w:sz="0" w:space="0" w:color="auto"/>
            <w:left w:val="none" w:sz="0" w:space="0" w:color="auto"/>
            <w:bottom w:val="none" w:sz="0" w:space="0" w:color="auto"/>
            <w:right w:val="none" w:sz="0" w:space="0" w:color="auto"/>
          </w:divBdr>
        </w:div>
        <w:div w:id="303001349">
          <w:marLeft w:val="0"/>
          <w:marRight w:val="0"/>
          <w:marTop w:val="0"/>
          <w:marBottom w:val="0"/>
          <w:divBdr>
            <w:top w:val="none" w:sz="0" w:space="0" w:color="auto"/>
            <w:left w:val="none" w:sz="0" w:space="0" w:color="auto"/>
            <w:bottom w:val="none" w:sz="0" w:space="0" w:color="auto"/>
            <w:right w:val="none" w:sz="0" w:space="0" w:color="auto"/>
          </w:divBdr>
        </w:div>
        <w:div w:id="329262945">
          <w:marLeft w:val="0"/>
          <w:marRight w:val="0"/>
          <w:marTop w:val="0"/>
          <w:marBottom w:val="0"/>
          <w:divBdr>
            <w:top w:val="none" w:sz="0" w:space="0" w:color="auto"/>
            <w:left w:val="none" w:sz="0" w:space="0" w:color="auto"/>
            <w:bottom w:val="none" w:sz="0" w:space="0" w:color="auto"/>
            <w:right w:val="none" w:sz="0" w:space="0" w:color="auto"/>
          </w:divBdr>
        </w:div>
        <w:div w:id="348331774">
          <w:marLeft w:val="0"/>
          <w:marRight w:val="0"/>
          <w:marTop w:val="0"/>
          <w:marBottom w:val="0"/>
          <w:divBdr>
            <w:top w:val="none" w:sz="0" w:space="0" w:color="auto"/>
            <w:left w:val="none" w:sz="0" w:space="0" w:color="auto"/>
            <w:bottom w:val="none" w:sz="0" w:space="0" w:color="auto"/>
            <w:right w:val="none" w:sz="0" w:space="0" w:color="auto"/>
          </w:divBdr>
        </w:div>
        <w:div w:id="420956744">
          <w:marLeft w:val="0"/>
          <w:marRight w:val="0"/>
          <w:marTop w:val="0"/>
          <w:marBottom w:val="0"/>
          <w:divBdr>
            <w:top w:val="none" w:sz="0" w:space="0" w:color="auto"/>
            <w:left w:val="none" w:sz="0" w:space="0" w:color="auto"/>
            <w:bottom w:val="none" w:sz="0" w:space="0" w:color="auto"/>
            <w:right w:val="none" w:sz="0" w:space="0" w:color="auto"/>
          </w:divBdr>
        </w:div>
        <w:div w:id="453326266">
          <w:marLeft w:val="0"/>
          <w:marRight w:val="0"/>
          <w:marTop w:val="0"/>
          <w:marBottom w:val="0"/>
          <w:divBdr>
            <w:top w:val="none" w:sz="0" w:space="0" w:color="auto"/>
            <w:left w:val="none" w:sz="0" w:space="0" w:color="auto"/>
            <w:bottom w:val="none" w:sz="0" w:space="0" w:color="auto"/>
            <w:right w:val="none" w:sz="0" w:space="0" w:color="auto"/>
          </w:divBdr>
        </w:div>
        <w:div w:id="684480838">
          <w:marLeft w:val="0"/>
          <w:marRight w:val="0"/>
          <w:marTop w:val="0"/>
          <w:marBottom w:val="0"/>
          <w:divBdr>
            <w:top w:val="none" w:sz="0" w:space="0" w:color="auto"/>
            <w:left w:val="none" w:sz="0" w:space="0" w:color="auto"/>
            <w:bottom w:val="none" w:sz="0" w:space="0" w:color="auto"/>
            <w:right w:val="none" w:sz="0" w:space="0" w:color="auto"/>
          </w:divBdr>
        </w:div>
        <w:div w:id="704793870">
          <w:marLeft w:val="0"/>
          <w:marRight w:val="0"/>
          <w:marTop w:val="0"/>
          <w:marBottom w:val="0"/>
          <w:divBdr>
            <w:top w:val="none" w:sz="0" w:space="0" w:color="auto"/>
            <w:left w:val="none" w:sz="0" w:space="0" w:color="auto"/>
            <w:bottom w:val="none" w:sz="0" w:space="0" w:color="auto"/>
            <w:right w:val="none" w:sz="0" w:space="0" w:color="auto"/>
          </w:divBdr>
        </w:div>
        <w:div w:id="879904053">
          <w:marLeft w:val="0"/>
          <w:marRight w:val="0"/>
          <w:marTop w:val="0"/>
          <w:marBottom w:val="0"/>
          <w:divBdr>
            <w:top w:val="none" w:sz="0" w:space="0" w:color="auto"/>
            <w:left w:val="none" w:sz="0" w:space="0" w:color="auto"/>
            <w:bottom w:val="none" w:sz="0" w:space="0" w:color="auto"/>
            <w:right w:val="none" w:sz="0" w:space="0" w:color="auto"/>
          </w:divBdr>
        </w:div>
        <w:div w:id="972490366">
          <w:marLeft w:val="0"/>
          <w:marRight w:val="0"/>
          <w:marTop w:val="0"/>
          <w:marBottom w:val="0"/>
          <w:divBdr>
            <w:top w:val="none" w:sz="0" w:space="0" w:color="auto"/>
            <w:left w:val="none" w:sz="0" w:space="0" w:color="auto"/>
            <w:bottom w:val="none" w:sz="0" w:space="0" w:color="auto"/>
            <w:right w:val="none" w:sz="0" w:space="0" w:color="auto"/>
          </w:divBdr>
        </w:div>
        <w:div w:id="1049955457">
          <w:marLeft w:val="0"/>
          <w:marRight w:val="0"/>
          <w:marTop w:val="0"/>
          <w:marBottom w:val="0"/>
          <w:divBdr>
            <w:top w:val="none" w:sz="0" w:space="0" w:color="auto"/>
            <w:left w:val="none" w:sz="0" w:space="0" w:color="auto"/>
            <w:bottom w:val="none" w:sz="0" w:space="0" w:color="auto"/>
            <w:right w:val="none" w:sz="0" w:space="0" w:color="auto"/>
          </w:divBdr>
        </w:div>
        <w:div w:id="1110592389">
          <w:marLeft w:val="0"/>
          <w:marRight w:val="0"/>
          <w:marTop w:val="0"/>
          <w:marBottom w:val="0"/>
          <w:divBdr>
            <w:top w:val="none" w:sz="0" w:space="0" w:color="auto"/>
            <w:left w:val="none" w:sz="0" w:space="0" w:color="auto"/>
            <w:bottom w:val="none" w:sz="0" w:space="0" w:color="auto"/>
            <w:right w:val="none" w:sz="0" w:space="0" w:color="auto"/>
          </w:divBdr>
        </w:div>
        <w:div w:id="1124543234">
          <w:marLeft w:val="0"/>
          <w:marRight w:val="0"/>
          <w:marTop w:val="0"/>
          <w:marBottom w:val="0"/>
          <w:divBdr>
            <w:top w:val="none" w:sz="0" w:space="0" w:color="auto"/>
            <w:left w:val="none" w:sz="0" w:space="0" w:color="auto"/>
            <w:bottom w:val="none" w:sz="0" w:space="0" w:color="auto"/>
            <w:right w:val="none" w:sz="0" w:space="0" w:color="auto"/>
          </w:divBdr>
        </w:div>
        <w:div w:id="1170560697">
          <w:marLeft w:val="0"/>
          <w:marRight w:val="0"/>
          <w:marTop w:val="0"/>
          <w:marBottom w:val="0"/>
          <w:divBdr>
            <w:top w:val="none" w:sz="0" w:space="0" w:color="auto"/>
            <w:left w:val="none" w:sz="0" w:space="0" w:color="auto"/>
            <w:bottom w:val="none" w:sz="0" w:space="0" w:color="auto"/>
            <w:right w:val="none" w:sz="0" w:space="0" w:color="auto"/>
          </w:divBdr>
        </w:div>
        <w:div w:id="1212888600">
          <w:marLeft w:val="0"/>
          <w:marRight w:val="0"/>
          <w:marTop w:val="0"/>
          <w:marBottom w:val="0"/>
          <w:divBdr>
            <w:top w:val="none" w:sz="0" w:space="0" w:color="auto"/>
            <w:left w:val="none" w:sz="0" w:space="0" w:color="auto"/>
            <w:bottom w:val="none" w:sz="0" w:space="0" w:color="auto"/>
            <w:right w:val="none" w:sz="0" w:space="0" w:color="auto"/>
          </w:divBdr>
        </w:div>
        <w:div w:id="1273442352">
          <w:marLeft w:val="0"/>
          <w:marRight w:val="0"/>
          <w:marTop w:val="0"/>
          <w:marBottom w:val="0"/>
          <w:divBdr>
            <w:top w:val="none" w:sz="0" w:space="0" w:color="auto"/>
            <w:left w:val="none" w:sz="0" w:space="0" w:color="auto"/>
            <w:bottom w:val="none" w:sz="0" w:space="0" w:color="auto"/>
            <w:right w:val="none" w:sz="0" w:space="0" w:color="auto"/>
          </w:divBdr>
        </w:div>
        <w:div w:id="1317949721">
          <w:marLeft w:val="0"/>
          <w:marRight w:val="0"/>
          <w:marTop w:val="0"/>
          <w:marBottom w:val="0"/>
          <w:divBdr>
            <w:top w:val="none" w:sz="0" w:space="0" w:color="auto"/>
            <w:left w:val="none" w:sz="0" w:space="0" w:color="auto"/>
            <w:bottom w:val="none" w:sz="0" w:space="0" w:color="auto"/>
            <w:right w:val="none" w:sz="0" w:space="0" w:color="auto"/>
          </w:divBdr>
        </w:div>
        <w:div w:id="1494182177">
          <w:marLeft w:val="0"/>
          <w:marRight w:val="0"/>
          <w:marTop w:val="0"/>
          <w:marBottom w:val="0"/>
          <w:divBdr>
            <w:top w:val="none" w:sz="0" w:space="0" w:color="auto"/>
            <w:left w:val="none" w:sz="0" w:space="0" w:color="auto"/>
            <w:bottom w:val="none" w:sz="0" w:space="0" w:color="auto"/>
            <w:right w:val="none" w:sz="0" w:space="0" w:color="auto"/>
          </w:divBdr>
        </w:div>
        <w:div w:id="1586954558">
          <w:marLeft w:val="0"/>
          <w:marRight w:val="0"/>
          <w:marTop w:val="0"/>
          <w:marBottom w:val="0"/>
          <w:divBdr>
            <w:top w:val="none" w:sz="0" w:space="0" w:color="auto"/>
            <w:left w:val="none" w:sz="0" w:space="0" w:color="auto"/>
            <w:bottom w:val="none" w:sz="0" w:space="0" w:color="auto"/>
            <w:right w:val="none" w:sz="0" w:space="0" w:color="auto"/>
          </w:divBdr>
        </w:div>
        <w:div w:id="2101902625">
          <w:marLeft w:val="0"/>
          <w:marRight w:val="0"/>
          <w:marTop w:val="0"/>
          <w:marBottom w:val="0"/>
          <w:divBdr>
            <w:top w:val="none" w:sz="0" w:space="0" w:color="auto"/>
            <w:left w:val="none" w:sz="0" w:space="0" w:color="auto"/>
            <w:bottom w:val="none" w:sz="0" w:space="0" w:color="auto"/>
            <w:right w:val="none" w:sz="0" w:space="0" w:color="auto"/>
          </w:divBdr>
        </w:div>
      </w:divsChild>
    </w:div>
    <w:div w:id="1276062932">
      <w:bodyDiv w:val="1"/>
      <w:marLeft w:val="0"/>
      <w:marRight w:val="0"/>
      <w:marTop w:val="0"/>
      <w:marBottom w:val="0"/>
      <w:divBdr>
        <w:top w:val="none" w:sz="0" w:space="0" w:color="auto"/>
        <w:left w:val="none" w:sz="0" w:space="0" w:color="auto"/>
        <w:bottom w:val="none" w:sz="0" w:space="0" w:color="auto"/>
        <w:right w:val="none" w:sz="0" w:space="0" w:color="auto"/>
      </w:divBdr>
    </w:div>
    <w:div w:id="1283880096">
      <w:bodyDiv w:val="1"/>
      <w:marLeft w:val="0"/>
      <w:marRight w:val="0"/>
      <w:marTop w:val="0"/>
      <w:marBottom w:val="0"/>
      <w:divBdr>
        <w:top w:val="none" w:sz="0" w:space="0" w:color="auto"/>
        <w:left w:val="none" w:sz="0" w:space="0" w:color="auto"/>
        <w:bottom w:val="none" w:sz="0" w:space="0" w:color="auto"/>
        <w:right w:val="none" w:sz="0" w:space="0" w:color="auto"/>
      </w:divBdr>
    </w:div>
    <w:div w:id="1287590861">
      <w:bodyDiv w:val="1"/>
      <w:marLeft w:val="0"/>
      <w:marRight w:val="0"/>
      <w:marTop w:val="0"/>
      <w:marBottom w:val="0"/>
      <w:divBdr>
        <w:top w:val="none" w:sz="0" w:space="0" w:color="auto"/>
        <w:left w:val="none" w:sz="0" w:space="0" w:color="auto"/>
        <w:bottom w:val="none" w:sz="0" w:space="0" w:color="auto"/>
        <w:right w:val="none" w:sz="0" w:space="0" w:color="auto"/>
      </w:divBdr>
    </w:div>
    <w:div w:id="1296644680">
      <w:bodyDiv w:val="1"/>
      <w:marLeft w:val="0"/>
      <w:marRight w:val="0"/>
      <w:marTop w:val="0"/>
      <w:marBottom w:val="0"/>
      <w:divBdr>
        <w:top w:val="none" w:sz="0" w:space="0" w:color="auto"/>
        <w:left w:val="none" w:sz="0" w:space="0" w:color="auto"/>
        <w:bottom w:val="none" w:sz="0" w:space="0" w:color="auto"/>
        <w:right w:val="none" w:sz="0" w:space="0" w:color="auto"/>
      </w:divBdr>
      <w:divsChild>
        <w:div w:id="1158034467">
          <w:marLeft w:val="0"/>
          <w:marRight w:val="0"/>
          <w:marTop w:val="0"/>
          <w:marBottom w:val="0"/>
          <w:divBdr>
            <w:top w:val="none" w:sz="0" w:space="0" w:color="auto"/>
            <w:left w:val="none" w:sz="0" w:space="0" w:color="auto"/>
            <w:bottom w:val="none" w:sz="0" w:space="0" w:color="auto"/>
            <w:right w:val="none" w:sz="0" w:space="0" w:color="auto"/>
          </w:divBdr>
        </w:div>
      </w:divsChild>
    </w:div>
    <w:div w:id="1308778315">
      <w:bodyDiv w:val="1"/>
      <w:marLeft w:val="0"/>
      <w:marRight w:val="0"/>
      <w:marTop w:val="0"/>
      <w:marBottom w:val="0"/>
      <w:divBdr>
        <w:top w:val="none" w:sz="0" w:space="0" w:color="auto"/>
        <w:left w:val="none" w:sz="0" w:space="0" w:color="auto"/>
        <w:bottom w:val="none" w:sz="0" w:space="0" w:color="auto"/>
        <w:right w:val="none" w:sz="0" w:space="0" w:color="auto"/>
      </w:divBdr>
      <w:divsChild>
        <w:div w:id="227305857">
          <w:marLeft w:val="0"/>
          <w:marRight w:val="0"/>
          <w:marTop w:val="0"/>
          <w:marBottom w:val="0"/>
          <w:divBdr>
            <w:top w:val="none" w:sz="0" w:space="0" w:color="auto"/>
            <w:left w:val="none" w:sz="0" w:space="0" w:color="auto"/>
            <w:bottom w:val="none" w:sz="0" w:space="0" w:color="auto"/>
            <w:right w:val="none" w:sz="0" w:space="0" w:color="auto"/>
          </w:divBdr>
        </w:div>
        <w:div w:id="845900003">
          <w:marLeft w:val="0"/>
          <w:marRight w:val="0"/>
          <w:marTop w:val="0"/>
          <w:marBottom w:val="0"/>
          <w:divBdr>
            <w:top w:val="none" w:sz="0" w:space="0" w:color="auto"/>
            <w:left w:val="none" w:sz="0" w:space="0" w:color="auto"/>
            <w:bottom w:val="none" w:sz="0" w:space="0" w:color="auto"/>
            <w:right w:val="none" w:sz="0" w:space="0" w:color="auto"/>
          </w:divBdr>
        </w:div>
        <w:div w:id="862207156">
          <w:marLeft w:val="0"/>
          <w:marRight w:val="0"/>
          <w:marTop w:val="0"/>
          <w:marBottom w:val="0"/>
          <w:divBdr>
            <w:top w:val="none" w:sz="0" w:space="0" w:color="auto"/>
            <w:left w:val="none" w:sz="0" w:space="0" w:color="auto"/>
            <w:bottom w:val="none" w:sz="0" w:space="0" w:color="auto"/>
            <w:right w:val="none" w:sz="0" w:space="0" w:color="auto"/>
          </w:divBdr>
        </w:div>
        <w:div w:id="1463765534">
          <w:marLeft w:val="0"/>
          <w:marRight w:val="0"/>
          <w:marTop w:val="0"/>
          <w:marBottom w:val="0"/>
          <w:divBdr>
            <w:top w:val="none" w:sz="0" w:space="0" w:color="auto"/>
            <w:left w:val="none" w:sz="0" w:space="0" w:color="auto"/>
            <w:bottom w:val="none" w:sz="0" w:space="0" w:color="auto"/>
            <w:right w:val="none" w:sz="0" w:space="0" w:color="auto"/>
          </w:divBdr>
        </w:div>
        <w:div w:id="1699235787">
          <w:marLeft w:val="0"/>
          <w:marRight w:val="0"/>
          <w:marTop w:val="0"/>
          <w:marBottom w:val="0"/>
          <w:divBdr>
            <w:top w:val="none" w:sz="0" w:space="0" w:color="auto"/>
            <w:left w:val="none" w:sz="0" w:space="0" w:color="auto"/>
            <w:bottom w:val="none" w:sz="0" w:space="0" w:color="auto"/>
            <w:right w:val="none" w:sz="0" w:space="0" w:color="auto"/>
          </w:divBdr>
        </w:div>
        <w:div w:id="1800144838">
          <w:marLeft w:val="0"/>
          <w:marRight w:val="0"/>
          <w:marTop w:val="0"/>
          <w:marBottom w:val="0"/>
          <w:divBdr>
            <w:top w:val="none" w:sz="0" w:space="0" w:color="auto"/>
            <w:left w:val="none" w:sz="0" w:space="0" w:color="auto"/>
            <w:bottom w:val="none" w:sz="0" w:space="0" w:color="auto"/>
            <w:right w:val="none" w:sz="0" w:space="0" w:color="auto"/>
          </w:divBdr>
        </w:div>
        <w:div w:id="1832673357">
          <w:marLeft w:val="0"/>
          <w:marRight w:val="0"/>
          <w:marTop w:val="0"/>
          <w:marBottom w:val="0"/>
          <w:divBdr>
            <w:top w:val="none" w:sz="0" w:space="0" w:color="auto"/>
            <w:left w:val="none" w:sz="0" w:space="0" w:color="auto"/>
            <w:bottom w:val="none" w:sz="0" w:space="0" w:color="auto"/>
            <w:right w:val="none" w:sz="0" w:space="0" w:color="auto"/>
          </w:divBdr>
        </w:div>
      </w:divsChild>
    </w:div>
    <w:div w:id="1313558503">
      <w:bodyDiv w:val="1"/>
      <w:marLeft w:val="0"/>
      <w:marRight w:val="0"/>
      <w:marTop w:val="0"/>
      <w:marBottom w:val="0"/>
      <w:divBdr>
        <w:top w:val="none" w:sz="0" w:space="0" w:color="auto"/>
        <w:left w:val="none" w:sz="0" w:space="0" w:color="auto"/>
        <w:bottom w:val="none" w:sz="0" w:space="0" w:color="auto"/>
        <w:right w:val="none" w:sz="0" w:space="0" w:color="auto"/>
      </w:divBdr>
    </w:div>
    <w:div w:id="1322461535">
      <w:bodyDiv w:val="1"/>
      <w:marLeft w:val="0"/>
      <w:marRight w:val="0"/>
      <w:marTop w:val="0"/>
      <w:marBottom w:val="0"/>
      <w:divBdr>
        <w:top w:val="none" w:sz="0" w:space="0" w:color="auto"/>
        <w:left w:val="none" w:sz="0" w:space="0" w:color="auto"/>
        <w:bottom w:val="none" w:sz="0" w:space="0" w:color="auto"/>
        <w:right w:val="none" w:sz="0" w:space="0" w:color="auto"/>
      </w:divBdr>
      <w:divsChild>
        <w:div w:id="12921368">
          <w:marLeft w:val="0"/>
          <w:marRight w:val="0"/>
          <w:marTop w:val="0"/>
          <w:marBottom w:val="0"/>
          <w:divBdr>
            <w:top w:val="none" w:sz="0" w:space="0" w:color="auto"/>
            <w:left w:val="none" w:sz="0" w:space="0" w:color="auto"/>
            <w:bottom w:val="none" w:sz="0" w:space="0" w:color="auto"/>
            <w:right w:val="none" w:sz="0" w:space="0" w:color="auto"/>
          </w:divBdr>
        </w:div>
        <w:div w:id="62604744">
          <w:marLeft w:val="0"/>
          <w:marRight w:val="0"/>
          <w:marTop w:val="0"/>
          <w:marBottom w:val="0"/>
          <w:divBdr>
            <w:top w:val="none" w:sz="0" w:space="0" w:color="auto"/>
            <w:left w:val="none" w:sz="0" w:space="0" w:color="auto"/>
            <w:bottom w:val="none" w:sz="0" w:space="0" w:color="auto"/>
            <w:right w:val="none" w:sz="0" w:space="0" w:color="auto"/>
          </w:divBdr>
        </w:div>
        <w:div w:id="162816627">
          <w:marLeft w:val="0"/>
          <w:marRight w:val="0"/>
          <w:marTop w:val="0"/>
          <w:marBottom w:val="0"/>
          <w:divBdr>
            <w:top w:val="none" w:sz="0" w:space="0" w:color="auto"/>
            <w:left w:val="none" w:sz="0" w:space="0" w:color="auto"/>
            <w:bottom w:val="none" w:sz="0" w:space="0" w:color="auto"/>
            <w:right w:val="none" w:sz="0" w:space="0" w:color="auto"/>
          </w:divBdr>
        </w:div>
        <w:div w:id="198902694">
          <w:marLeft w:val="0"/>
          <w:marRight w:val="0"/>
          <w:marTop w:val="0"/>
          <w:marBottom w:val="0"/>
          <w:divBdr>
            <w:top w:val="none" w:sz="0" w:space="0" w:color="auto"/>
            <w:left w:val="none" w:sz="0" w:space="0" w:color="auto"/>
            <w:bottom w:val="none" w:sz="0" w:space="0" w:color="auto"/>
            <w:right w:val="none" w:sz="0" w:space="0" w:color="auto"/>
          </w:divBdr>
        </w:div>
        <w:div w:id="209807674">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 w:id="226570610">
          <w:marLeft w:val="0"/>
          <w:marRight w:val="0"/>
          <w:marTop w:val="0"/>
          <w:marBottom w:val="0"/>
          <w:divBdr>
            <w:top w:val="none" w:sz="0" w:space="0" w:color="auto"/>
            <w:left w:val="none" w:sz="0" w:space="0" w:color="auto"/>
            <w:bottom w:val="none" w:sz="0" w:space="0" w:color="auto"/>
            <w:right w:val="none" w:sz="0" w:space="0" w:color="auto"/>
          </w:divBdr>
        </w:div>
        <w:div w:id="314914353">
          <w:marLeft w:val="0"/>
          <w:marRight w:val="0"/>
          <w:marTop w:val="0"/>
          <w:marBottom w:val="0"/>
          <w:divBdr>
            <w:top w:val="none" w:sz="0" w:space="0" w:color="auto"/>
            <w:left w:val="none" w:sz="0" w:space="0" w:color="auto"/>
            <w:bottom w:val="none" w:sz="0" w:space="0" w:color="auto"/>
            <w:right w:val="none" w:sz="0" w:space="0" w:color="auto"/>
          </w:divBdr>
        </w:div>
        <w:div w:id="418261165">
          <w:marLeft w:val="0"/>
          <w:marRight w:val="0"/>
          <w:marTop w:val="0"/>
          <w:marBottom w:val="0"/>
          <w:divBdr>
            <w:top w:val="none" w:sz="0" w:space="0" w:color="auto"/>
            <w:left w:val="none" w:sz="0" w:space="0" w:color="auto"/>
            <w:bottom w:val="none" w:sz="0" w:space="0" w:color="auto"/>
            <w:right w:val="none" w:sz="0" w:space="0" w:color="auto"/>
          </w:divBdr>
        </w:div>
        <w:div w:id="457727763">
          <w:marLeft w:val="0"/>
          <w:marRight w:val="0"/>
          <w:marTop w:val="0"/>
          <w:marBottom w:val="0"/>
          <w:divBdr>
            <w:top w:val="none" w:sz="0" w:space="0" w:color="auto"/>
            <w:left w:val="none" w:sz="0" w:space="0" w:color="auto"/>
            <w:bottom w:val="none" w:sz="0" w:space="0" w:color="auto"/>
            <w:right w:val="none" w:sz="0" w:space="0" w:color="auto"/>
          </w:divBdr>
        </w:div>
        <w:div w:id="474952166">
          <w:marLeft w:val="0"/>
          <w:marRight w:val="0"/>
          <w:marTop w:val="0"/>
          <w:marBottom w:val="0"/>
          <w:divBdr>
            <w:top w:val="none" w:sz="0" w:space="0" w:color="auto"/>
            <w:left w:val="none" w:sz="0" w:space="0" w:color="auto"/>
            <w:bottom w:val="none" w:sz="0" w:space="0" w:color="auto"/>
            <w:right w:val="none" w:sz="0" w:space="0" w:color="auto"/>
          </w:divBdr>
        </w:div>
        <w:div w:id="528764202">
          <w:marLeft w:val="0"/>
          <w:marRight w:val="0"/>
          <w:marTop w:val="0"/>
          <w:marBottom w:val="0"/>
          <w:divBdr>
            <w:top w:val="none" w:sz="0" w:space="0" w:color="auto"/>
            <w:left w:val="none" w:sz="0" w:space="0" w:color="auto"/>
            <w:bottom w:val="none" w:sz="0" w:space="0" w:color="auto"/>
            <w:right w:val="none" w:sz="0" w:space="0" w:color="auto"/>
          </w:divBdr>
        </w:div>
        <w:div w:id="547225991">
          <w:marLeft w:val="0"/>
          <w:marRight w:val="0"/>
          <w:marTop w:val="0"/>
          <w:marBottom w:val="0"/>
          <w:divBdr>
            <w:top w:val="none" w:sz="0" w:space="0" w:color="auto"/>
            <w:left w:val="none" w:sz="0" w:space="0" w:color="auto"/>
            <w:bottom w:val="none" w:sz="0" w:space="0" w:color="auto"/>
            <w:right w:val="none" w:sz="0" w:space="0" w:color="auto"/>
          </w:divBdr>
        </w:div>
        <w:div w:id="553809041">
          <w:marLeft w:val="0"/>
          <w:marRight w:val="0"/>
          <w:marTop w:val="0"/>
          <w:marBottom w:val="0"/>
          <w:divBdr>
            <w:top w:val="none" w:sz="0" w:space="0" w:color="auto"/>
            <w:left w:val="none" w:sz="0" w:space="0" w:color="auto"/>
            <w:bottom w:val="none" w:sz="0" w:space="0" w:color="auto"/>
            <w:right w:val="none" w:sz="0" w:space="0" w:color="auto"/>
          </w:divBdr>
        </w:div>
        <w:div w:id="569775022">
          <w:marLeft w:val="0"/>
          <w:marRight w:val="0"/>
          <w:marTop w:val="0"/>
          <w:marBottom w:val="0"/>
          <w:divBdr>
            <w:top w:val="none" w:sz="0" w:space="0" w:color="auto"/>
            <w:left w:val="none" w:sz="0" w:space="0" w:color="auto"/>
            <w:bottom w:val="none" w:sz="0" w:space="0" w:color="auto"/>
            <w:right w:val="none" w:sz="0" w:space="0" w:color="auto"/>
          </w:divBdr>
        </w:div>
        <w:div w:id="724454204">
          <w:marLeft w:val="0"/>
          <w:marRight w:val="0"/>
          <w:marTop w:val="0"/>
          <w:marBottom w:val="0"/>
          <w:divBdr>
            <w:top w:val="none" w:sz="0" w:space="0" w:color="auto"/>
            <w:left w:val="none" w:sz="0" w:space="0" w:color="auto"/>
            <w:bottom w:val="none" w:sz="0" w:space="0" w:color="auto"/>
            <w:right w:val="none" w:sz="0" w:space="0" w:color="auto"/>
          </w:divBdr>
        </w:div>
        <w:div w:id="740832127">
          <w:marLeft w:val="0"/>
          <w:marRight w:val="0"/>
          <w:marTop w:val="0"/>
          <w:marBottom w:val="0"/>
          <w:divBdr>
            <w:top w:val="none" w:sz="0" w:space="0" w:color="auto"/>
            <w:left w:val="none" w:sz="0" w:space="0" w:color="auto"/>
            <w:bottom w:val="none" w:sz="0" w:space="0" w:color="auto"/>
            <w:right w:val="none" w:sz="0" w:space="0" w:color="auto"/>
          </w:divBdr>
        </w:div>
        <w:div w:id="765073358">
          <w:marLeft w:val="0"/>
          <w:marRight w:val="0"/>
          <w:marTop w:val="0"/>
          <w:marBottom w:val="0"/>
          <w:divBdr>
            <w:top w:val="none" w:sz="0" w:space="0" w:color="auto"/>
            <w:left w:val="none" w:sz="0" w:space="0" w:color="auto"/>
            <w:bottom w:val="none" w:sz="0" w:space="0" w:color="auto"/>
            <w:right w:val="none" w:sz="0" w:space="0" w:color="auto"/>
          </w:divBdr>
        </w:div>
        <w:div w:id="865870611">
          <w:marLeft w:val="0"/>
          <w:marRight w:val="0"/>
          <w:marTop w:val="0"/>
          <w:marBottom w:val="0"/>
          <w:divBdr>
            <w:top w:val="none" w:sz="0" w:space="0" w:color="auto"/>
            <w:left w:val="none" w:sz="0" w:space="0" w:color="auto"/>
            <w:bottom w:val="none" w:sz="0" w:space="0" w:color="auto"/>
            <w:right w:val="none" w:sz="0" w:space="0" w:color="auto"/>
          </w:divBdr>
        </w:div>
        <w:div w:id="1175614311">
          <w:marLeft w:val="0"/>
          <w:marRight w:val="0"/>
          <w:marTop w:val="0"/>
          <w:marBottom w:val="0"/>
          <w:divBdr>
            <w:top w:val="none" w:sz="0" w:space="0" w:color="auto"/>
            <w:left w:val="none" w:sz="0" w:space="0" w:color="auto"/>
            <w:bottom w:val="none" w:sz="0" w:space="0" w:color="auto"/>
            <w:right w:val="none" w:sz="0" w:space="0" w:color="auto"/>
          </w:divBdr>
        </w:div>
        <w:div w:id="1270774511">
          <w:marLeft w:val="0"/>
          <w:marRight w:val="0"/>
          <w:marTop w:val="0"/>
          <w:marBottom w:val="0"/>
          <w:divBdr>
            <w:top w:val="none" w:sz="0" w:space="0" w:color="auto"/>
            <w:left w:val="none" w:sz="0" w:space="0" w:color="auto"/>
            <w:bottom w:val="none" w:sz="0" w:space="0" w:color="auto"/>
            <w:right w:val="none" w:sz="0" w:space="0" w:color="auto"/>
          </w:divBdr>
        </w:div>
        <w:div w:id="1411350242">
          <w:marLeft w:val="0"/>
          <w:marRight w:val="0"/>
          <w:marTop w:val="0"/>
          <w:marBottom w:val="0"/>
          <w:divBdr>
            <w:top w:val="none" w:sz="0" w:space="0" w:color="auto"/>
            <w:left w:val="none" w:sz="0" w:space="0" w:color="auto"/>
            <w:bottom w:val="none" w:sz="0" w:space="0" w:color="auto"/>
            <w:right w:val="none" w:sz="0" w:space="0" w:color="auto"/>
          </w:divBdr>
        </w:div>
        <w:div w:id="1508835447">
          <w:marLeft w:val="0"/>
          <w:marRight w:val="0"/>
          <w:marTop w:val="0"/>
          <w:marBottom w:val="0"/>
          <w:divBdr>
            <w:top w:val="none" w:sz="0" w:space="0" w:color="auto"/>
            <w:left w:val="none" w:sz="0" w:space="0" w:color="auto"/>
            <w:bottom w:val="none" w:sz="0" w:space="0" w:color="auto"/>
            <w:right w:val="none" w:sz="0" w:space="0" w:color="auto"/>
          </w:divBdr>
        </w:div>
        <w:div w:id="1585457222">
          <w:marLeft w:val="0"/>
          <w:marRight w:val="0"/>
          <w:marTop w:val="0"/>
          <w:marBottom w:val="0"/>
          <w:divBdr>
            <w:top w:val="none" w:sz="0" w:space="0" w:color="auto"/>
            <w:left w:val="none" w:sz="0" w:space="0" w:color="auto"/>
            <w:bottom w:val="none" w:sz="0" w:space="0" w:color="auto"/>
            <w:right w:val="none" w:sz="0" w:space="0" w:color="auto"/>
          </w:divBdr>
        </w:div>
        <w:div w:id="1656644134">
          <w:marLeft w:val="0"/>
          <w:marRight w:val="0"/>
          <w:marTop w:val="0"/>
          <w:marBottom w:val="0"/>
          <w:divBdr>
            <w:top w:val="none" w:sz="0" w:space="0" w:color="auto"/>
            <w:left w:val="none" w:sz="0" w:space="0" w:color="auto"/>
            <w:bottom w:val="none" w:sz="0" w:space="0" w:color="auto"/>
            <w:right w:val="none" w:sz="0" w:space="0" w:color="auto"/>
          </w:divBdr>
        </w:div>
        <w:div w:id="1676108020">
          <w:marLeft w:val="0"/>
          <w:marRight w:val="0"/>
          <w:marTop w:val="0"/>
          <w:marBottom w:val="0"/>
          <w:divBdr>
            <w:top w:val="none" w:sz="0" w:space="0" w:color="auto"/>
            <w:left w:val="none" w:sz="0" w:space="0" w:color="auto"/>
            <w:bottom w:val="none" w:sz="0" w:space="0" w:color="auto"/>
            <w:right w:val="none" w:sz="0" w:space="0" w:color="auto"/>
          </w:divBdr>
        </w:div>
        <w:div w:id="1690914854">
          <w:marLeft w:val="0"/>
          <w:marRight w:val="0"/>
          <w:marTop w:val="0"/>
          <w:marBottom w:val="0"/>
          <w:divBdr>
            <w:top w:val="none" w:sz="0" w:space="0" w:color="auto"/>
            <w:left w:val="none" w:sz="0" w:space="0" w:color="auto"/>
            <w:bottom w:val="none" w:sz="0" w:space="0" w:color="auto"/>
            <w:right w:val="none" w:sz="0" w:space="0" w:color="auto"/>
          </w:divBdr>
        </w:div>
        <w:div w:id="1698575671">
          <w:marLeft w:val="0"/>
          <w:marRight w:val="0"/>
          <w:marTop w:val="0"/>
          <w:marBottom w:val="0"/>
          <w:divBdr>
            <w:top w:val="none" w:sz="0" w:space="0" w:color="auto"/>
            <w:left w:val="none" w:sz="0" w:space="0" w:color="auto"/>
            <w:bottom w:val="none" w:sz="0" w:space="0" w:color="auto"/>
            <w:right w:val="none" w:sz="0" w:space="0" w:color="auto"/>
          </w:divBdr>
        </w:div>
        <w:div w:id="1717853949">
          <w:marLeft w:val="0"/>
          <w:marRight w:val="0"/>
          <w:marTop w:val="0"/>
          <w:marBottom w:val="0"/>
          <w:divBdr>
            <w:top w:val="none" w:sz="0" w:space="0" w:color="auto"/>
            <w:left w:val="none" w:sz="0" w:space="0" w:color="auto"/>
            <w:bottom w:val="none" w:sz="0" w:space="0" w:color="auto"/>
            <w:right w:val="none" w:sz="0" w:space="0" w:color="auto"/>
          </w:divBdr>
        </w:div>
        <w:div w:id="1769038187">
          <w:marLeft w:val="0"/>
          <w:marRight w:val="0"/>
          <w:marTop w:val="0"/>
          <w:marBottom w:val="0"/>
          <w:divBdr>
            <w:top w:val="none" w:sz="0" w:space="0" w:color="auto"/>
            <w:left w:val="none" w:sz="0" w:space="0" w:color="auto"/>
            <w:bottom w:val="none" w:sz="0" w:space="0" w:color="auto"/>
            <w:right w:val="none" w:sz="0" w:space="0" w:color="auto"/>
          </w:divBdr>
        </w:div>
        <w:div w:id="1865170108">
          <w:marLeft w:val="0"/>
          <w:marRight w:val="0"/>
          <w:marTop w:val="0"/>
          <w:marBottom w:val="0"/>
          <w:divBdr>
            <w:top w:val="none" w:sz="0" w:space="0" w:color="auto"/>
            <w:left w:val="none" w:sz="0" w:space="0" w:color="auto"/>
            <w:bottom w:val="none" w:sz="0" w:space="0" w:color="auto"/>
            <w:right w:val="none" w:sz="0" w:space="0" w:color="auto"/>
          </w:divBdr>
        </w:div>
        <w:div w:id="1872719457">
          <w:marLeft w:val="0"/>
          <w:marRight w:val="0"/>
          <w:marTop w:val="0"/>
          <w:marBottom w:val="0"/>
          <w:divBdr>
            <w:top w:val="none" w:sz="0" w:space="0" w:color="auto"/>
            <w:left w:val="none" w:sz="0" w:space="0" w:color="auto"/>
            <w:bottom w:val="none" w:sz="0" w:space="0" w:color="auto"/>
            <w:right w:val="none" w:sz="0" w:space="0" w:color="auto"/>
          </w:divBdr>
        </w:div>
        <w:div w:id="1906796891">
          <w:marLeft w:val="0"/>
          <w:marRight w:val="0"/>
          <w:marTop w:val="0"/>
          <w:marBottom w:val="0"/>
          <w:divBdr>
            <w:top w:val="none" w:sz="0" w:space="0" w:color="auto"/>
            <w:left w:val="none" w:sz="0" w:space="0" w:color="auto"/>
            <w:bottom w:val="none" w:sz="0" w:space="0" w:color="auto"/>
            <w:right w:val="none" w:sz="0" w:space="0" w:color="auto"/>
          </w:divBdr>
        </w:div>
        <w:div w:id="1960838831">
          <w:marLeft w:val="0"/>
          <w:marRight w:val="0"/>
          <w:marTop w:val="0"/>
          <w:marBottom w:val="0"/>
          <w:divBdr>
            <w:top w:val="none" w:sz="0" w:space="0" w:color="auto"/>
            <w:left w:val="none" w:sz="0" w:space="0" w:color="auto"/>
            <w:bottom w:val="none" w:sz="0" w:space="0" w:color="auto"/>
            <w:right w:val="none" w:sz="0" w:space="0" w:color="auto"/>
          </w:divBdr>
        </w:div>
        <w:div w:id="2000841611">
          <w:marLeft w:val="0"/>
          <w:marRight w:val="0"/>
          <w:marTop w:val="0"/>
          <w:marBottom w:val="0"/>
          <w:divBdr>
            <w:top w:val="none" w:sz="0" w:space="0" w:color="auto"/>
            <w:left w:val="none" w:sz="0" w:space="0" w:color="auto"/>
            <w:bottom w:val="none" w:sz="0" w:space="0" w:color="auto"/>
            <w:right w:val="none" w:sz="0" w:space="0" w:color="auto"/>
          </w:divBdr>
        </w:div>
        <w:div w:id="2066290012">
          <w:marLeft w:val="0"/>
          <w:marRight w:val="0"/>
          <w:marTop w:val="0"/>
          <w:marBottom w:val="0"/>
          <w:divBdr>
            <w:top w:val="none" w:sz="0" w:space="0" w:color="auto"/>
            <w:left w:val="none" w:sz="0" w:space="0" w:color="auto"/>
            <w:bottom w:val="none" w:sz="0" w:space="0" w:color="auto"/>
            <w:right w:val="none" w:sz="0" w:space="0" w:color="auto"/>
          </w:divBdr>
        </w:div>
        <w:div w:id="2084983841">
          <w:marLeft w:val="0"/>
          <w:marRight w:val="0"/>
          <w:marTop w:val="0"/>
          <w:marBottom w:val="0"/>
          <w:divBdr>
            <w:top w:val="none" w:sz="0" w:space="0" w:color="auto"/>
            <w:left w:val="none" w:sz="0" w:space="0" w:color="auto"/>
            <w:bottom w:val="none" w:sz="0" w:space="0" w:color="auto"/>
            <w:right w:val="none" w:sz="0" w:space="0" w:color="auto"/>
          </w:divBdr>
        </w:div>
        <w:div w:id="2112774546">
          <w:marLeft w:val="0"/>
          <w:marRight w:val="0"/>
          <w:marTop w:val="0"/>
          <w:marBottom w:val="0"/>
          <w:divBdr>
            <w:top w:val="none" w:sz="0" w:space="0" w:color="auto"/>
            <w:left w:val="none" w:sz="0" w:space="0" w:color="auto"/>
            <w:bottom w:val="none" w:sz="0" w:space="0" w:color="auto"/>
            <w:right w:val="none" w:sz="0" w:space="0" w:color="auto"/>
          </w:divBdr>
        </w:div>
      </w:divsChild>
    </w:div>
    <w:div w:id="1323970340">
      <w:bodyDiv w:val="1"/>
      <w:marLeft w:val="0"/>
      <w:marRight w:val="0"/>
      <w:marTop w:val="0"/>
      <w:marBottom w:val="0"/>
      <w:divBdr>
        <w:top w:val="none" w:sz="0" w:space="0" w:color="auto"/>
        <w:left w:val="none" w:sz="0" w:space="0" w:color="auto"/>
        <w:bottom w:val="none" w:sz="0" w:space="0" w:color="auto"/>
        <w:right w:val="none" w:sz="0" w:space="0" w:color="auto"/>
      </w:divBdr>
    </w:div>
    <w:div w:id="1432968428">
      <w:bodyDiv w:val="1"/>
      <w:marLeft w:val="0"/>
      <w:marRight w:val="0"/>
      <w:marTop w:val="0"/>
      <w:marBottom w:val="0"/>
      <w:divBdr>
        <w:top w:val="none" w:sz="0" w:space="0" w:color="auto"/>
        <w:left w:val="none" w:sz="0" w:space="0" w:color="auto"/>
        <w:bottom w:val="none" w:sz="0" w:space="0" w:color="auto"/>
        <w:right w:val="none" w:sz="0" w:space="0" w:color="auto"/>
      </w:divBdr>
    </w:div>
    <w:div w:id="1465192012">
      <w:bodyDiv w:val="1"/>
      <w:marLeft w:val="0"/>
      <w:marRight w:val="0"/>
      <w:marTop w:val="0"/>
      <w:marBottom w:val="0"/>
      <w:divBdr>
        <w:top w:val="none" w:sz="0" w:space="0" w:color="auto"/>
        <w:left w:val="none" w:sz="0" w:space="0" w:color="auto"/>
        <w:bottom w:val="none" w:sz="0" w:space="0" w:color="auto"/>
        <w:right w:val="none" w:sz="0" w:space="0" w:color="auto"/>
      </w:divBdr>
      <w:divsChild>
        <w:div w:id="48116648">
          <w:marLeft w:val="0"/>
          <w:marRight w:val="0"/>
          <w:marTop w:val="0"/>
          <w:marBottom w:val="0"/>
          <w:divBdr>
            <w:top w:val="none" w:sz="0" w:space="0" w:color="auto"/>
            <w:left w:val="none" w:sz="0" w:space="0" w:color="auto"/>
            <w:bottom w:val="none" w:sz="0" w:space="0" w:color="auto"/>
            <w:right w:val="none" w:sz="0" w:space="0" w:color="auto"/>
          </w:divBdr>
        </w:div>
        <w:div w:id="173156791">
          <w:marLeft w:val="0"/>
          <w:marRight w:val="0"/>
          <w:marTop w:val="0"/>
          <w:marBottom w:val="0"/>
          <w:divBdr>
            <w:top w:val="none" w:sz="0" w:space="0" w:color="auto"/>
            <w:left w:val="none" w:sz="0" w:space="0" w:color="auto"/>
            <w:bottom w:val="none" w:sz="0" w:space="0" w:color="auto"/>
            <w:right w:val="none" w:sz="0" w:space="0" w:color="auto"/>
          </w:divBdr>
        </w:div>
        <w:div w:id="369384336">
          <w:marLeft w:val="0"/>
          <w:marRight w:val="0"/>
          <w:marTop w:val="0"/>
          <w:marBottom w:val="0"/>
          <w:divBdr>
            <w:top w:val="none" w:sz="0" w:space="0" w:color="auto"/>
            <w:left w:val="none" w:sz="0" w:space="0" w:color="auto"/>
            <w:bottom w:val="none" w:sz="0" w:space="0" w:color="auto"/>
            <w:right w:val="none" w:sz="0" w:space="0" w:color="auto"/>
          </w:divBdr>
        </w:div>
        <w:div w:id="601768919">
          <w:marLeft w:val="0"/>
          <w:marRight w:val="0"/>
          <w:marTop w:val="0"/>
          <w:marBottom w:val="0"/>
          <w:divBdr>
            <w:top w:val="none" w:sz="0" w:space="0" w:color="auto"/>
            <w:left w:val="none" w:sz="0" w:space="0" w:color="auto"/>
            <w:bottom w:val="none" w:sz="0" w:space="0" w:color="auto"/>
            <w:right w:val="none" w:sz="0" w:space="0" w:color="auto"/>
          </w:divBdr>
        </w:div>
        <w:div w:id="603653210">
          <w:marLeft w:val="0"/>
          <w:marRight w:val="0"/>
          <w:marTop w:val="0"/>
          <w:marBottom w:val="0"/>
          <w:divBdr>
            <w:top w:val="none" w:sz="0" w:space="0" w:color="auto"/>
            <w:left w:val="none" w:sz="0" w:space="0" w:color="auto"/>
            <w:bottom w:val="none" w:sz="0" w:space="0" w:color="auto"/>
            <w:right w:val="none" w:sz="0" w:space="0" w:color="auto"/>
          </w:divBdr>
        </w:div>
        <w:div w:id="720982753">
          <w:marLeft w:val="0"/>
          <w:marRight w:val="0"/>
          <w:marTop w:val="0"/>
          <w:marBottom w:val="0"/>
          <w:divBdr>
            <w:top w:val="none" w:sz="0" w:space="0" w:color="auto"/>
            <w:left w:val="none" w:sz="0" w:space="0" w:color="auto"/>
            <w:bottom w:val="none" w:sz="0" w:space="0" w:color="auto"/>
            <w:right w:val="none" w:sz="0" w:space="0" w:color="auto"/>
          </w:divBdr>
        </w:div>
        <w:div w:id="846096050">
          <w:marLeft w:val="0"/>
          <w:marRight w:val="0"/>
          <w:marTop w:val="0"/>
          <w:marBottom w:val="0"/>
          <w:divBdr>
            <w:top w:val="none" w:sz="0" w:space="0" w:color="auto"/>
            <w:left w:val="none" w:sz="0" w:space="0" w:color="auto"/>
            <w:bottom w:val="none" w:sz="0" w:space="0" w:color="auto"/>
            <w:right w:val="none" w:sz="0" w:space="0" w:color="auto"/>
          </w:divBdr>
        </w:div>
        <w:div w:id="1056857434">
          <w:marLeft w:val="0"/>
          <w:marRight w:val="0"/>
          <w:marTop w:val="0"/>
          <w:marBottom w:val="0"/>
          <w:divBdr>
            <w:top w:val="none" w:sz="0" w:space="0" w:color="auto"/>
            <w:left w:val="none" w:sz="0" w:space="0" w:color="auto"/>
            <w:bottom w:val="none" w:sz="0" w:space="0" w:color="auto"/>
            <w:right w:val="none" w:sz="0" w:space="0" w:color="auto"/>
          </w:divBdr>
        </w:div>
        <w:div w:id="1086727505">
          <w:marLeft w:val="0"/>
          <w:marRight w:val="0"/>
          <w:marTop w:val="0"/>
          <w:marBottom w:val="0"/>
          <w:divBdr>
            <w:top w:val="none" w:sz="0" w:space="0" w:color="auto"/>
            <w:left w:val="none" w:sz="0" w:space="0" w:color="auto"/>
            <w:bottom w:val="none" w:sz="0" w:space="0" w:color="auto"/>
            <w:right w:val="none" w:sz="0" w:space="0" w:color="auto"/>
          </w:divBdr>
        </w:div>
        <w:div w:id="1378361693">
          <w:marLeft w:val="0"/>
          <w:marRight w:val="0"/>
          <w:marTop w:val="0"/>
          <w:marBottom w:val="0"/>
          <w:divBdr>
            <w:top w:val="none" w:sz="0" w:space="0" w:color="auto"/>
            <w:left w:val="none" w:sz="0" w:space="0" w:color="auto"/>
            <w:bottom w:val="none" w:sz="0" w:space="0" w:color="auto"/>
            <w:right w:val="none" w:sz="0" w:space="0" w:color="auto"/>
          </w:divBdr>
        </w:div>
        <w:div w:id="1540587023">
          <w:marLeft w:val="0"/>
          <w:marRight w:val="0"/>
          <w:marTop w:val="0"/>
          <w:marBottom w:val="0"/>
          <w:divBdr>
            <w:top w:val="none" w:sz="0" w:space="0" w:color="auto"/>
            <w:left w:val="none" w:sz="0" w:space="0" w:color="auto"/>
            <w:bottom w:val="none" w:sz="0" w:space="0" w:color="auto"/>
            <w:right w:val="none" w:sz="0" w:space="0" w:color="auto"/>
          </w:divBdr>
        </w:div>
        <w:div w:id="1618634890">
          <w:marLeft w:val="0"/>
          <w:marRight w:val="0"/>
          <w:marTop w:val="0"/>
          <w:marBottom w:val="0"/>
          <w:divBdr>
            <w:top w:val="none" w:sz="0" w:space="0" w:color="auto"/>
            <w:left w:val="none" w:sz="0" w:space="0" w:color="auto"/>
            <w:bottom w:val="none" w:sz="0" w:space="0" w:color="auto"/>
            <w:right w:val="none" w:sz="0" w:space="0" w:color="auto"/>
          </w:divBdr>
        </w:div>
        <w:div w:id="1684015023">
          <w:marLeft w:val="0"/>
          <w:marRight w:val="0"/>
          <w:marTop w:val="0"/>
          <w:marBottom w:val="0"/>
          <w:divBdr>
            <w:top w:val="none" w:sz="0" w:space="0" w:color="auto"/>
            <w:left w:val="none" w:sz="0" w:space="0" w:color="auto"/>
            <w:bottom w:val="none" w:sz="0" w:space="0" w:color="auto"/>
            <w:right w:val="none" w:sz="0" w:space="0" w:color="auto"/>
          </w:divBdr>
        </w:div>
        <w:div w:id="1953242012">
          <w:marLeft w:val="0"/>
          <w:marRight w:val="0"/>
          <w:marTop w:val="0"/>
          <w:marBottom w:val="0"/>
          <w:divBdr>
            <w:top w:val="none" w:sz="0" w:space="0" w:color="auto"/>
            <w:left w:val="none" w:sz="0" w:space="0" w:color="auto"/>
            <w:bottom w:val="none" w:sz="0" w:space="0" w:color="auto"/>
            <w:right w:val="none" w:sz="0" w:space="0" w:color="auto"/>
          </w:divBdr>
        </w:div>
      </w:divsChild>
    </w:div>
    <w:div w:id="1488282375">
      <w:bodyDiv w:val="1"/>
      <w:marLeft w:val="0"/>
      <w:marRight w:val="0"/>
      <w:marTop w:val="0"/>
      <w:marBottom w:val="0"/>
      <w:divBdr>
        <w:top w:val="none" w:sz="0" w:space="0" w:color="auto"/>
        <w:left w:val="none" w:sz="0" w:space="0" w:color="auto"/>
        <w:bottom w:val="none" w:sz="0" w:space="0" w:color="auto"/>
        <w:right w:val="none" w:sz="0" w:space="0" w:color="auto"/>
      </w:divBdr>
      <w:divsChild>
        <w:div w:id="64767304">
          <w:marLeft w:val="0"/>
          <w:marRight w:val="0"/>
          <w:marTop w:val="0"/>
          <w:marBottom w:val="0"/>
          <w:divBdr>
            <w:top w:val="none" w:sz="0" w:space="0" w:color="auto"/>
            <w:left w:val="none" w:sz="0" w:space="0" w:color="auto"/>
            <w:bottom w:val="none" w:sz="0" w:space="0" w:color="auto"/>
            <w:right w:val="none" w:sz="0" w:space="0" w:color="auto"/>
          </w:divBdr>
        </w:div>
        <w:div w:id="69424279">
          <w:marLeft w:val="0"/>
          <w:marRight w:val="0"/>
          <w:marTop w:val="0"/>
          <w:marBottom w:val="0"/>
          <w:divBdr>
            <w:top w:val="none" w:sz="0" w:space="0" w:color="auto"/>
            <w:left w:val="none" w:sz="0" w:space="0" w:color="auto"/>
            <w:bottom w:val="none" w:sz="0" w:space="0" w:color="auto"/>
            <w:right w:val="none" w:sz="0" w:space="0" w:color="auto"/>
          </w:divBdr>
        </w:div>
        <w:div w:id="91433397">
          <w:marLeft w:val="0"/>
          <w:marRight w:val="0"/>
          <w:marTop w:val="0"/>
          <w:marBottom w:val="0"/>
          <w:divBdr>
            <w:top w:val="none" w:sz="0" w:space="0" w:color="auto"/>
            <w:left w:val="none" w:sz="0" w:space="0" w:color="auto"/>
            <w:bottom w:val="none" w:sz="0" w:space="0" w:color="auto"/>
            <w:right w:val="none" w:sz="0" w:space="0" w:color="auto"/>
          </w:divBdr>
        </w:div>
        <w:div w:id="182281376">
          <w:marLeft w:val="0"/>
          <w:marRight w:val="0"/>
          <w:marTop w:val="0"/>
          <w:marBottom w:val="0"/>
          <w:divBdr>
            <w:top w:val="none" w:sz="0" w:space="0" w:color="auto"/>
            <w:left w:val="none" w:sz="0" w:space="0" w:color="auto"/>
            <w:bottom w:val="none" w:sz="0" w:space="0" w:color="auto"/>
            <w:right w:val="none" w:sz="0" w:space="0" w:color="auto"/>
          </w:divBdr>
        </w:div>
        <w:div w:id="264070544">
          <w:marLeft w:val="0"/>
          <w:marRight w:val="0"/>
          <w:marTop w:val="0"/>
          <w:marBottom w:val="0"/>
          <w:divBdr>
            <w:top w:val="none" w:sz="0" w:space="0" w:color="auto"/>
            <w:left w:val="none" w:sz="0" w:space="0" w:color="auto"/>
            <w:bottom w:val="none" w:sz="0" w:space="0" w:color="auto"/>
            <w:right w:val="none" w:sz="0" w:space="0" w:color="auto"/>
          </w:divBdr>
        </w:div>
        <w:div w:id="520162822">
          <w:marLeft w:val="0"/>
          <w:marRight w:val="0"/>
          <w:marTop w:val="0"/>
          <w:marBottom w:val="0"/>
          <w:divBdr>
            <w:top w:val="none" w:sz="0" w:space="0" w:color="auto"/>
            <w:left w:val="none" w:sz="0" w:space="0" w:color="auto"/>
            <w:bottom w:val="none" w:sz="0" w:space="0" w:color="auto"/>
            <w:right w:val="none" w:sz="0" w:space="0" w:color="auto"/>
          </w:divBdr>
        </w:div>
        <w:div w:id="549154980">
          <w:marLeft w:val="0"/>
          <w:marRight w:val="0"/>
          <w:marTop w:val="0"/>
          <w:marBottom w:val="0"/>
          <w:divBdr>
            <w:top w:val="none" w:sz="0" w:space="0" w:color="auto"/>
            <w:left w:val="none" w:sz="0" w:space="0" w:color="auto"/>
            <w:bottom w:val="none" w:sz="0" w:space="0" w:color="auto"/>
            <w:right w:val="none" w:sz="0" w:space="0" w:color="auto"/>
          </w:divBdr>
        </w:div>
        <w:div w:id="601692095">
          <w:marLeft w:val="0"/>
          <w:marRight w:val="0"/>
          <w:marTop w:val="0"/>
          <w:marBottom w:val="0"/>
          <w:divBdr>
            <w:top w:val="none" w:sz="0" w:space="0" w:color="auto"/>
            <w:left w:val="none" w:sz="0" w:space="0" w:color="auto"/>
            <w:bottom w:val="none" w:sz="0" w:space="0" w:color="auto"/>
            <w:right w:val="none" w:sz="0" w:space="0" w:color="auto"/>
          </w:divBdr>
        </w:div>
        <w:div w:id="805464548">
          <w:marLeft w:val="0"/>
          <w:marRight w:val="0"/>
          <w:marTop w:val="0"/>
          <w:marBottom w:val="0"/>
          <w:divBdr>
            <w:top w:val="none" w:sz="0" w:space="0" w:color="auto"/>
            <w:left w:val="none" w:sz="0" w:space="0" w:color="auto"/>
            <w:bottom w:val="none" w:sz="0" w:space="0" w:color="auto"/>
            <w:right w:val="none" w:sz="0" w:space="0" w:color="auto"/>
          </w:divBdr>
        </w:div>
        <w:div w:id="841625825">
          <w:marLeft w:val="0"/>
          <w:marRight w:val="0"/>
          <w:marTop w:val="0"/>
          <w:marBottom w:val="0"/>
          <w:divBdr>
            <w:top w:val="none" w:sz="0" w:space="0" w:color="auto"/>
            <w:left w:val="none" w:sz="0" w:space="0" w:color="auto"/>
            <w:bottom w:val="none" w:sz="0" w:space="0" w:color="auto"/>
            <w:right w:val="none" w:sz="0" w:space="0" w:color="auto"/>
          </w:divBdr>
        </w:div>
        <w:div w:id="1007368809">
          <w:marLeft w:val="0"/>
          <w:marRight w:val="0"/>
          <w:marTop w:val="0"/>
          <w:marBottom w:val="0"/>
          <w:divBdr>
            <w:top w:val="none" w:sz="0" w:space="0" w:color="auto"/>
            <w:left w:val="none" w:sz="0" w:space="0" w:color="auto"/>
            <w:bottom w:val="none" w:sz="0" w:space="0" w:color="auto"/>
            <w:right w:val="none" w:sz="0" w:space="0" w:color="auto"/>
          </w:divBdr>
        </w:div>
        <w:div w:id="1069376713">
          <w:marLeft w:val="0"/>
          <w:marRight w:val="0"/>
          <w:marTop w:val="0"/>
          <w:marBottom w:val="0"/>
          <w:divBdr>
            <w:top w:val="none" w:sz="0" w:space="0" w:color="auto"/>
            <w:left w:val="none" w:sz="0" w:space="0" w:color="auto"/>
            <w:bottom w:val="none" w:sz="0" w:space="0" w:color="auto"/>
            <w:right w:val="none" w:sz="0" w:space="0" w:color="auto"/>
          </w:divBdr>
        </w:div>
        <w:div w:id="1172842033">
          <w:marLeft w:val="0"/>
          <w:marRight w:val="0"/>
          <w:marTop w:val="0"/>
          <w:marBottom w:val="0"/>
          <w:divBdr>
            <w:top w:val="none" w:sz="0" w:space="0" w:color="auto"/>
            <w:left w:val="none" w:sz="0" w:space="0" w:color="auto"/>
            <w:bottom w:val="none" w:sz="0" w:space="0" w:color="auto"/>
            <w:right w:val="none" w:sz="0" w:space="0" w:color="auto"/>
          </w:divBdr>
        </w:div>
        <w:div w:id="1278684472">
          <w:marLeft w:val="0"/>
          <w:marRight w:val="0"/>
          <w:marTop w:val="0"/>
          <w:marBottom w:val="0"/>
          <w:divBdr>
            <w:top w:val="none" w:sz="0" w:space="0" w:color="auto"/>
            <w:left w:val="none" w:sz="0" w:space="0" w:color="auto"/>
            <w:bottom w:val="none" w:sz="0" w:space="0" w:color="auto"/>
            <w:right w:val="none" w:sz="0" w:space="0" w:color="auto"/>
          </w:divBdr>
        </w:div>
        <w:div w:id="1445880651">
          <w:marLeft w:val="0"/>
          <w:marRight w:val="0"/>
          <w:marTop w:val="0"/>
          <w:marBottom w:val="0"/>
          <w:divBdr>
            <w:top w:val="none" w:sz="0" w:space="0" w:color="auto"/>
            <w:left w:val="none" w:sz="0" w:space="0" w:color="auto"/>
            <w:bottom w:val="none" w:sz="0" w:space="0" w:color="auto"/>
            <w:right w:val="none" w:sz="0" w:space="0" w:color="auto"/>
          </w:divBdr>
        </w:div>
        <w:div w:id="1452285735">
          <w:marLeft w:val="0"/>
          <w:marRight w:val="0"/>
          <w:marTop w:val="0"/>
          <w:marBottom w:val="0"/>
          <w:divBdr>
            <w:top w:val="none" w:sz="0" w:space="0" w:color="auto"/>
            <w:left w:val="none" w:sz="0" w:space="0" w:color="auto"/>
            <w:bottom w:val="none" w:sz="0" w:space="0" w:color="auto"/>
            <w:right w:val="none" w:sz="0" w:space="0" w:color="auto"/>
          </w:divBdr>
        </w:div>
        <w:div w:id="1571040527">
          <w:marLeft w:val="0"/>
          <w:marRight w:val="0"/>
          <w:marTop w:val="0"/>
          <w:marBottom w:val="0"/>
          <w:divBdr>
            <w:top w:val="none" w:sz="0" w:space="0" w:color="auto"/>
            <w:left w:val="none" w:sz="0" w:space="0" w:color="auto"/>
            <w:bottom w:val="none" w:sz="0" w:space="0" w:color="auto"/>
            <w:right w:val="none" w:sz="0" w:space="0" w:color="auto"/>
          </w:divBdr>
        </w:div>
        <w:div w:id="1683319344">
          <w:marLeft w:val="0"/>
          <w:marRight w:val="0"/>
          <w:marTop w:val="0"/>
          <w:marBottom w:val="0"/>
          <w:divBdr>
            <w:top w:val="none" w:sz="0" w:space="0" w:color="auto"/>
            <w:left w:val="none" w:sz="0" w:space="0" w:color="auto"/>
            <w:bottom w:val="none" w:sz="0" w:space="0" w:color="auto"/>
            <w:right w:val="none" w:sz="0" w:space="0" w:color="auto"/>
          </w:divBdr>
        </w:div>
        <w:div w:id="1714305405">
          <w:marLeft w:val="0"/>
          <w:marRight w:val="0"/>
          <w:marTop w:val="0"/>
          <w:marBottom w:val="0"/>
          <w:divBdr>
            <w:top w:val="none" w:sz="0" w:space="0" w:color="auto"/>
            <w:left w:val="none" w:sz="0" w:space="0" w:color="auto"/>
            <w:bottom w:val="none" w:sz="0" w:space="0" w:color="auto"/>
            <w:right w:val="none" w:sz="0" w:space="0" w:color="auto"/>
          </w:divBdr>
        </w:div>
        <w:div w:id="1813598448">
          <w:marLeft w:val="0"/>
          <w:marRight w:val="0"/>
          <w:marTop w:val="0"/>
          <w:marBottom w:val="0"/>
          <w:divBdr>
            <w:top w:val="none" w:sz="0" w:space="0" w:color="auto"/>
            <w:left w:val="none" w:sz="0" w:space="0" w:color="auto"/>
            <w:bottom w:val="none" w:sz="0" w:space="0" w:color="auto"/>
            <w:right w:val="none" w:sz="0" w:space="0" w:color="auto"/>
          </w:divBdr>
        </w:div>
        <w:div w:id="1850023292">
          <w:marLeft w:val="0"/>
          <w:marRight w:val="0"/>
          <w:marTop w:val="0"/>
          <w:marBottom w:val="0"/>
          <w:divBdr>
            <w:top w:val="none" w:sz="0" w:space="0" w:color="auto"/>
            <w:left w:val="none" w:sz="0" w:space="0" w:color="auto"/>
            <w:bottom w:val="none" w:sz="0" w:space="0" w:color="auto"/>
            <w:right w:val="none" w:sz="0" w:space="0" w:color="auto"/>
          </w:divBdr>
        </w:div>
        <w:div w:id="1856577354">
          <w:marLeft w:val="0"/>
          <w:marRight w:val="0"/>
          <w:marTop w:val="0"/>
          <w:marBottom w:val="0"/>
          <w:divBdr>
            <w:top w:val="none" w:sz="0" w:space="0" w:color="auto"/>
            <w:left w:val="none" w:sz="0" w:space="0" w:color="auto"/>
            <w:bottom w:val="none" w:sz="0" w:space="0" w:color="auto"/>
            <w:right w:val="none" w:sz="0" w:space="0" w:color="auto"/>
          </w:divBdr>
        </w:div>
        <w:div w:id="2019040439">
          <w:marLeft w:val="0"/>
          <w:marRight w:val="0"/>
          <w:marTop w:val="0"/>
          <w:marBottom w:val="0"/>
          <w:divBdr>
            <w:top w:val="none" w:sz="0" w:space="0" w:color="auto"/>
            <w:left w:val="none" w:sz="0" w:space="0" w:color="auto"/>
            <w:bottom w:val="none" w:sz="0" w:space="0" w:color="auto"/>
            <w:right w:val="none" w:sz="0" w:space="0" w:color="auto"/>
          </w:divBdr>
        </w:div>
        <w:div w:id="2084255213">
          <w:marLeft w:val="0"/>
          <w:marRight w:val="0"/>
          <w:marTop w:val="0"/>
          <w:marBottom w:val="0"/>
          <w:divBdr>
            <w:top w:val="none" w:sz="0" w:space="0" w:color="auto"/>
            <w:left w:val="none" w:sz="0" w:space="0" w:color="auto"/>
            <w:bottom w:val="none" w:sz="0" w:space="0" w:color="auto"/>
            <w:right w:val="none" w:sz="0" w:space="0" w:color="auto"/>
          </w:divBdr>
        </w:div>
        <w:div w:id="2091271479">
          <w:marLeft w:val="0"/>
          <w:marRight w:val="0"/>
          <w:marTop w:val="0"/>
          <w:marBottom w:val="0"/>
          <w:divBdr>
            <w:top w:val="none" w:sz="0" w:space="0" w:color="auto"/>
            <w:left w:val="none" w:sz="0" w:space="0" w:color="auto"/>
            <w:bottom w:val="none" w:sz="0" w:space="0" w:color="auto"/>
            <w:right w:val="none" w:sz="0" w:space="0" w:color="auto"/>
          </w:divBdr>
        </w:div>
        <w:div w:id="2140411555">
          <w:marLeft w:val="0"/>
          <w:marRight w:val="0"/>
          <w:marTop w:val="0"/>
          <w:marBottom w:val="0"/>
          <w:divBdr>
            <w:top w:val="none" w:sz="0" w:space="0" w:color="auto"/>
            <w:left w:val="none" w:sz="0" w:space="0" w:color="auto"/>
            <w:bottom w:val="none" w:sz="0" w:space="0" w:color="auto"/>
            <w:right w:val="none" w:sz="0" w:space="0" w:color="auto"/>
          </w:divBdr>
        </w:div>
      </w:divsChild>
    </w:div>
    <w:div w:id="1644502522">
      <w:bodyDiv w:val="1"/>
      <w:marLeft w:val="0"/>
      <w:marRight w:val="0"/>
      <w:marTop w:val="0"/>
      <w:marBottom w:val="0"/>
      <w:divBdr>
        <w:top w:val="none" w:sz="0" w:space="0" w:color="auto"/>
        <w:left w:val="none" w:sz="0" w:space="0" w:color="auto"/>
        <w:bottom w:val="none" w:sz="0" w:space="0" w:color="auto"/>
        <w:right w:val="none" w:sz="0" w:space="0" w:color="auto"/>
      </w:divBdr>
    </w:div>
    <w:div w:id="1655718453">
      <w:bodyDiv w:val="1"/>
      <w:marLeft w:val="0"/>
      <w:marRight w:val="0"/>
      <w:marTop w:val="0"/>
      <w:marBottom w:val="0"/>
      <w:divBdr>
        <w:top w:val="none" w:sz="0" w:space="0" w:color="auto"/>
        <w:left w:val="none" w:sz="0" w:space="0" w:color="auto"/>
        <w:bottom w:val="none" w:sz="0" w:space="0" w:color="auto"/>
        <w:right w:val="none" w:sz="0" w:space="0" w:color="auto"/>
      </w:divBdr>
    </w:div>
    <w:div w:id="1658613667">
      <w:bodyDiv w:val="1"/>
      <w:marLeft w:val="0"/>
      <w:marRight w:val="0"/>
      <w:marTop w:val="0"/>
      <w:marBottom w:val="0"/>
      <w:divBdr>
        <w:top w:val="none" w:sz="0" w:space="0" w:color="auto"/>
        <w:left w:val="none" w:sz="0" w:space="0" w:color="auto"/>
        <w:bottom w:val="none" w:sz="0" w:space="0" w:color="auto"/>
        <w:right w:val="none" w:sz="0" w:space="0" w:color="auto"/>
      </w:divBdr>
    </w:div>
    <w:div w:id="1690138402">
      <w:bodyDiv w:val="1"/>
      <w:marLeft w:val="0"/>
      <w:marRight w:val="0"/>
      <w:marTop w:val="0"/>
      <w:marBottom w:val="0"/>
      <w:divBdr>
        <w:top w:val="none" w:sz="0" w:space="0" w:color="auto"/>
        <w:left w:val="none" w:sz="0" w:space="0" w:color="auto"/>
        <w:bottom w:val="none" w:sz="0" w:space="0" w:color="auto"/>
        <w:right w:val="none" w:sz="0" w:space="0" w:color="auto"/>
      </w:divBdr>
    </w:div>
    <w:div w:id="1766997885">
      <w:bodyDiv w:val="1"/>
      <w:marLeft w:val="0"/>
      <w:marRight w:val="0"/>
      <w:marTop w:val="0"/>
      <w:marBottom w:val="0"/>
      <w:divBdr>
        <w:top w:val="none" w:sz="0" w:space="0" w:color="auto"/>
        <w:left w:val="none" w:sz="0" w:space="0" w:color="auto"/>
        <w:bottom w:val="none" w:sz="0" w:space="0" w:color="auto"/>
        <w:right w:val="none" w:sz="0" w:space="0" w:color="auto"/>
      </w:divBdr>
    </w:div>
    <w:div w:id="1784693745">
      <w:bodyDiv w:val="1"/>
      <w:marLeft w:val="0"/>
      <w:marRight w:val="0"/>
      <w:marTop w:val="0"/>
      <w:marBottom w:val="0"/>
      <w:divBdr>
        <w:top w:val="none" w:sz="0" w:space="0" w:color="auto"/>
        <w:left w:val="none" w:sz="0" w:space="0" w:color="auto"/>
        <w:bottom w:val="none" w:sz="0" w:space="0" w:color="auto"/>
        <w:right w:val="none" w:sz="0" w:space="0" w:color="auto"/>
      </w:divBdr>
    </w:div>
    <w:div w:id="1789885513">
      <w:bodyDiv w:val="1"/>
      <w:marLeft w:val="0"/>
      <w:marRight w:val="0"/>
      <w:marTop w:val="0"/>
      <w:marBottom w:val="0"/>
      <w:divBdr>
        <w:top w:val="none" w:sz="0" w:space="0" w:color="auto"/>
        <w:left w:val="none" w:sz="0" w:space="0" w:color="auto"/>
        <w:bottom w:val="none" w:sz="0" w:space="0" w:color="auto"/>
        <w:right w:val="none" w:sz="0" w:space="0" w:color="auto"/>
      </w:divBdr>
    </w:div>
    <w:div w:id="1805612088">
      <w:bodyDiv w:val="1"/>
      <w:marLeft w:val="0"/>
      <w:marRight w:val="0"/>
      <w:marTop w:val="0"/>
      <w:marBottom w:val="0"/>
      <w:divBdr>
        <w:top w:val="none" w:sz="0" w:space="0" w:color="auto"/>
        <w:left w:val="none" w:sz="0" w:space="0" w:color="auto"/>
        <w:bottom w:val="none" w:sz="0" w:space="0" w:color="auto"/>
        <w:right w:val="none" w:sz="0" w:space="0" w:color="auto"/>
      </w:divBdr>
    </w:div>
    <w:div w:id="1813211172">
      <w:bodyDiv w:val="1"/>
      <w:marLeft w:val="0"/>
      <w:marRight w:val="0"/>
      <w:marTop w:val="0"/>
      <w:marBottom w:val="0"/>
      <w:divBdr>
        <w:top w:val="none" w:sz="0" w:space="0" w:color="auto"/>
        <w:left w:val="none" w:sz="0" w:space="0" w:color="auto"/>
        <w:bottom w:val="none" w:sz="0" w:space="0" w:color="auto"/>
        <w:right w:val="none" w:sz="0" w:space="0" w:color="auto"/>
      </w:divBdr>
    </w:div>
    <w:div w:id="1818571648">
      <w:bodyDiv w:val="1"/>
      <w:marLeft w:val="0"/>
      <w:marRight w:val="0"/>
      <w:marTop w:val="0"/>
      <w:marBottom w:val="0"/>
      <w:divBdr>
        <w:top w:val="none" w:sz="0" w:space="0" w:color="auto"/>
        <w:left w:val="none" w:sz="0" w:space="0" w:color="auto"/>
        <w:bottom w:val="none" w:sz="0" w:space="0" w:color="auto"/>
        <w:right w:val="none" w:sz="0" w:space="0" w:color="auto"/>
      </w:divBdr>
    </w:div>
    <w:div w:id="1840777199">
      <w:bodyDiv w:val="1"/>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
      </w:divsChild>
    </w:div>
    <w:div w:id="1911961180">
      <w:bodyDiv w:val="1"/>
      <w:marLeft w:val="0"/>
      <w:marRight w:val="0"/>
      <w:marTop w:val="0"/>
      <w:marBottom w:val="0"/>
      <w:divBdr>
        <w:top w:val="none" w:sz="0" w:space="0" w:color="auto"/>
        <w:left w:val="none" w:sz="0" w:space="0" w:color="auto"/>
        <w:bottom w:val="none" w:sz="0" w:space="0" w:color="auto"/>
        <w:right w:val="none" w:sz="0" w:space="0" w:color="auto"/>
      </w:divBdr>
    </w:div>
    <w:div w:id="1970087810">
      <w:bodyDiv w:val="1"/>
      <w:marLeft w:val="0"/>
      <w:marRight w:val="0"/>
      <w:marTop w:val="0"/>
      <w:marBottom w:val="0"/>
      <w:divBdr>
        <w:top w:val="none" w:sz="0" w:space="0" w:color="auto"/>
        <w:left w:val="none" w:sz="0" w:space="0" w:color="auto"/>
        <w:bottom w:val="none" w:sz="0" w:space="0" w:color="auto"/>
        <w:right w:val="none" w:sz="0" w:space="0" w:color="auto"/>
      </w:divBdr>
    </w:div>
    <w:div w:id="2034306252">
      <w:bodyDiv w:val="1"/>
      <w:marLeft w:val="0"/>
      <w:marRight w:val="0"/>
      <w:marTop w:val="0"/>
      <w:marBottom w:val="0"/>
      <w:divBdr>
        <w:top w:val="none" w:sz="0" w:space="0" w:color="auto"/>
        <w:left w:val="none" w:sz="0" w:space="0" w:color="auto"/>
        <w:bottom w:val="none" w:sz="0" w:space="0" w:color="auto"/>
        <w:right w:val="none" w:sz="0" w:space="0" w:color="auto"/>
      </w:divBdr>
    </w:div>
    <w:div w:id="2061857771">
      <w:bodyDiv w:val="1"/>
      <w:marLeft w:val="0"/>
      <w:marRight w:val="0"/>
      <w:marTop w:val="0"/>
      <w:marBottom w:val="0"/>
      <w:divBdr>
        <w:top w:val="none" w:sz="0" w:space="0" w:color="auto"/>
        <w:left w:val="none" w:sz="0" w:space="0" w:color="auto"/>
        <w:bottom w:val="none" w:sz="0" w:space="0" w:color="auto"/>
        <w:right w:val="none" w:sz="0" w:space="0" w:color="auto"/>
      </w:divBdr>
    </w:div>
    <w:div w:id="2067101084">
      <w:bodyDiv w:val="1"/>
      <w:marLeft w:val="0"/>
      <w:marRight w:val="0"/>
      <w:marTop w:val="0"/>
      <w:marBottom w:val="0"/>
      <w:divBdr>
        <w:top w:val="none" w:sz="0" w:space="0" w:color="auto"/>
        <w:left w:val="none" w:sz="0" w:space="0" w:color="auto"/>
        <w:bottom w:val="none" w:sz="0" w:space="0" w:color="auto"/>
        <w:right w:val="none" w:sz="0" w:space="0" w:color="auto"/>
      </w:divBdr>
      <w:divsChild>
        <w:div w:id="348723618">
          <w:marLeft w:val="0"/>
          <w:marRight w:val="0"/>
          <w:marTop w:val="0"/>
          <w:marBottom w:val="0"/>
          <w:divBdr>
            <w:top w:val="none" w:sz="0" w:space="0" w:color="auto"/>
            <w:left w:val="none" w:sz="0" w:space="0" w:color="auto"/>
            <w:bottom w:val="none" w:sz="0" w:space="0" w:color="auto"/>
            <w:right w:val="none" w:sz="0" w:space="0" w:color="auto"/>
          </w:divBdr>
        </w:div>
        <w:div w:id="1759789681">
          <w:marLeft w:val="0"/>
          <w:marRight w:val="0"/>
          <w:marTop w:val="0"/>
          <w:marBottom w:val="0"/>
          <w:divBdr>
            <w:top w:val="none" w:sz="0" w:space="0" w:color="auto"/>
            <w:left w:val="none" w:sz="0" w:space="0" w:color="auto"/>
            <w:bottom w:val="none" w:sz="0" w:space="0" w:color="auto"/>
            <w:right w:val="none" w:sz="0" w:space="0" w:color="auto"/>
          </w:divBdr>
        </w:div>
      </w:divsChild>
    </w:div>
    <w:div w:id="2098600743">
      <w:bodyDiv w:val="1"/>
      <w:marLeft w:val="0"/>
      <w:marRight w:val="0"/>
      <w:marTop w:val="0"/>
      <w:marBottom w:val="0"/>
      <w:divBdr>
        <w:top w:val="none" w:sz="0" w:space="0" w:color="auto"/>
        <w:left w:val="none" w:sz="0" w:space="0" w:color="auto"/>
        <w:bottom w:val="none" w:sz="0" w:space="0" w:color="auto"/>
        <w:right w:val="none" w:sz="0" w:space="0" w:color="auto"/>
      </w:divBdr>
    </w:div>
    <w:div w:id="2128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rpo.pomorskie.eu/"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74AD-6098-4A82-BE57-A6752E99429F}">
  <ds:schemaRefs>
    <ds:schemaRef ds:uri="http://www.w3.org/2001/XMLSchema"/>
  </ds:schemaRefs>
</ds:datastoreItem>
</file>

<file path=customXml/itemProps2.xml><?xml version="1.0" encoding="utf-8"?>
<ds:datastoreItem xmlns:ds="http://schemas.openxmlformats.org/officeDocument/2006/customXml" ds:itemID="{3FCC405A-53EA-4511-B430-48D0FE8C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32611</Words>
  <Characters>195670</Characters>
  <Application>Microsoft Office Word</Application>
  <DocSecurity>0</DocSecurity>
  <Lines>1630</Lines>
  <Paragraphs>455</Paragraphs>
  <ScaleCrop>false</ScaleCrop>
  <HeadingPairs>
    <vt:vector size="6" baseType="variant">
      <vt:variant>
        <vt:lpstr>Tytuł</vt:lpstr>
      </vt:variant>
      <vt:variant>
        <vt:i4>1</vt:i4>
      </vt:variant>
      <vt:variant>
        <vt:lpstr>Nagłówki</vt:lpstr>
      </vt:variant>
      <vt:variant>
        <vt:i4>44</vt:i4>
      </vt:variant>
      <vt:variant>
        <vt:lpstr>Title</vt:lpstr>
      </vt:variant>
      <vt:variant>
        <vt:i4>1</vt:i4>
      </vt:variant>
    </vt:vector>
  </HeadingPairs>
  <TitlesOfParts>
    <vt:vector size="46" baseType="lpstr">
      <vt:lpstr/>
      <vt:lpstr>Spis treści</vt:lpstr>
      <vt:lpstr>Wykaz użytych skrótów</vt:lpstr>
      <vt:lpstr>Identyfikacja końcowego sprawozdania z wdrażania</vt:lpstr>
      <vt:lpstr>2. Przegląd wdrażania programu operacyjnego (art. 50 ust. 2  i art. 111 ust. 3 l</vt:lpstr>
      <vt:lpstr>    2.1. Analiza postępu rzeczowego i finansowego</vt:lpstr>
      <vt:lpstr>    2.2 Ocena stanu wdrażania</vt:lpstr>
      <vt:lpstr>    2.3 Instrumenty finansowe</vt:lpstr>
      <vt:lpstr>3.Wdrażanie osi priorytetowej (art. 50 ust. 2 rozporządzenia ogólnego)</vt:lpstr>
      <vt:lpstr>    3.1. Przegląd wdrażania</vt:lpstr>
      <vt:lpstr>        3.1.1. Oś Priorytetowa 1. Komercjalizacja wiedzy.</vt:lpstr>
      <vt:lpstr>        3.1.2. Oś Priorytetowa 2. Przedsiębiorstwa.</vt:lpstr>
      <vt:lpstr>        3.1.3. Oś Priorytetowa 3. Edukacja</vt:lpstr>
      <vt:lpstr>        3.1.4. Oś Priorytetowa 4. Kształcenie zawodowe.</vt:lpstr>
      <vt:lpstr>        3.1.5. Oś Priorytetowa 5. Zatrudnienie</vt:lpstr>
      <vt:lpstr>        3.1.6. Oś Priorytetowa 6. Integracja</vt:lpstr>
      <vt:lpstr>        3.1.7. Oś Priorytetowa 7. Zdrowie i opieka.</vt:lpstr>
      <vt:lpstr>        3.1.8. Oś Priorytetowa 8. Konwersja.</vt:lpstr>
      <vt:lpstr>        3.1.9. Oś Priorytetowa 9. Mobilność.</vt:lpstr>
      <vt:lpstr>        3.1.10. Oś Priorytetowa 10. Energia.</vt:lpstr>
      <vt:lpstr>        3.1.11. Oś Priorytetowa 11. Środowisko.</vt:lpstr>
      <vt:lpstr>        3.1.12. Oś Priorytetowa 12. Pomoc techniczna</vt:lpstr>
      <vt:lpstr>        3.1.13. Oś Priorytetowa 13. Odbudowa i odporność (REACT-EU)</vt:lpstr>
      <vt:lpstr>        3.1.14. Oś Priorytetowa 14. Integracja imigrantów</vt:lpstr>
      <vt:lpstr>    3.2. Wspólne wskaźniki i wskaźniki specyficzne dla programu (art. 50 ust. 2 rozp</vt:lpstr>
      <vt:lpstr>    3.3. Cele pośrednie i końcowe określone w ramach wykonania (art. 50 ust. 2 rozpo</vt:lpstr>
      <vt:lpstr>    3.4. Dane finansowe (art. 50 ust. 2 rozporządzenia ogólnego) </vt:lpstr>
      <vt:lpstr>4. Podsumowanie przeprowadzonych ewaluacji (art. 50 ust. 2 rozporządzenia ogólne</vt:lpstr>
      <vt:lpstr>5. Informacje na temat wdrażania inicjatywy na rzecz zatrudnienia ludzi młodych,</vt:lpstr>
      <vt:lpstr>6. Kwestie mające wpływ na wykonanie programu i podjęte działania (art. 50 ust.2</vt:lpstr>
      <vt:lpstr>    a) Kwestie mające wpływ na wykonanie programu i podjęte działania </vt:lpstr>
      <vt:lpstr>    b) Ocena, czy postępy poczynione w zakresie celów pośrednich są wystarczające, a</vt:lpstr>
      <vt:lpstr>7. Streszczenie podawane do wiadomości publicznej (art. 50 ust. 9 rozporządzenia</vt:lpstr>
      <vt:lpstr>8. Sprawozdanie z wdrażania instrumentów finansowych (art. 46 rozporządzenia ogó</vt:lpstr>
      <vt:lpstr>9. Działania podjęte w celu spełnienia warunków wstępnych (art. 50 ust. 2 i 4 ro</vt:lpstr>
      <vt:lpstr>10. Postępy w przygotowaniu i wdrażanie dużych projektów i wspólnych planów dzia</vt:lpstr>
      <vt:lpstr>    10.1. Duże projekty </vt:lpstr>
      <vt:lpstr>    10.2. Wspólne plany działania </vt:lpstr>
      <vt:lpstr>11. Ocena wdrażania programu operacyjnego (art. 50 ust. 4 i art. 111 ust. 4 rozp</vt:lpstr>
      <vt:lpstr>    11.1. Informacje zawarte w części A i realizacja celów programu (art. 50 ust. 4 </vt:lpstr>
      <vt:lpstr>    OP1. KOMERCJALIZACJA WIEDZY</vt:lpstr>
      <vt:lpstr>    OP2. PRZEDSIĘBIORSTWA</vt:lpstr>
      <vt:lpstr>    OP3. EDUKACJA</vt:lpstr>
      <vt:lpstr>    OP4. KSZTAŁCENIE ZAWODOWE </vt:lpstr>
      <vt:lpstr>    OP5. ZATRUDNIENIE</vt:lpstr>
      <vt:lpstr/>
    </vt:vector>
  </TitlesOfParts>
  <Company>MRR</Company>
  <LinksUpToDate>false</LinksUpToDate>
  <CharactersWithSpaces>227826</CharactersWithSpaces>
  <SharedDoc>false</SharedDoc>
  <HLinks>
    <vt:vector size="342" baseType="variant">
      <vt:variant>
        <vt:i4>1572927</vt:i4>
      </vt:variant>
      <vt:variant>
        <vt:i4>338</vt:i4>
      </vt:variant>
      <vt:variant>
        <vt:i4>0</vt:i4>
      </vt:variant>
      <vt:variant>
        <vt:i4>5</vt:i4>
      </vt:variant>
      <vt:variant>
        <vt:lpwstr/>
      </vt:variant>
      <vt:variant>
        <vt:lpwstr>_Toc70589146</vt:lpwstr>
      </vt:variant>
      <vt:variant>
        <vt:i4>1769535</vt:i4>
      </vt:variant>
      <vt:variant>
        <vt:i4>332</vt:i4>
      </vt:variant>
      <vt:variant>
        <vt:i4>0</vt:i4>
      </vt:variant>
      <vt:variant>
        <vt:i4>5</vt:i4>
      </vt:variant>
      <vt:variant>
        <vt:lpwstr/>
      </vt:variant>
      <vt:variant>
        <vt:lpwstr>_Toc70589145</vt:lpwstr>
      </vt:variant>
      <vt:variant>
        <vt:i4>1703999</vt:i4>
      </vt:variant>
      <vt:variant>
        <vt:i4>326</vt:i4>
      </vt:variant>
      <vt:variant>
        <vt:i4>0</vt:i4>
      </vt:variant>
      <vt:variant>
        <vt:i4>5</vt:i4>
      </vt:variant>
      <vt:variant>
        <vt:lpwstr/>
      </vt:variant>
      <vt:variant>
        <vt:lpwstr>_Toc70589144</vt:lpwstr>
      </vt:variant>
      <vt:variant>
        <vt:i4>1900607</vt:i4>
      </vt:variant>
      <vt:variant>
        <vt:i4>320</vt:i4>
      </vt:variant>
      <vt:variant>
        <vt:i4>0</vt:i4>
      </vt:variant>
      <vt:variant>
        <vt:i4>5</vt:i4>
      </vt:variant>
      <vt:variant>
        <vt:lpwstr/>
      </vt:variant>
      <vt:variant>
        <vt:lpwstr>_Toc70589143</vt:lpwstr>
      </vt:variant>
      <vt:variant>
        <vt:i4>1835071</vt:i4>
      </vt:variant>
      <vt:variant>
        <vt:i4>314</vt:i4>
      </vt:variant>
      <vt:variant>
        <vt:i4>0</vt:i4>
      </vt:variant>
      <vt:variant>
        <vt:i4>5</vt:i4>
      </vt:variant>
      <vt:variant>
        <vt:lpwstr/>
      </vt:variant>
      <vt:variant>
        <vt:lpwstr>_Toc70589142</vt:lpwstr>
      </vt:variant>
      <vt:variant>
        <vt:i4>2031679</vt:i4>
      </vt:variant>
      <vt:variant>
        <vt:i4>308</vt:i4>
      </vt:variant>
      <vt:variant>
        <vt:i4>0</vt:i4>
      </vt:variant>
      <vt:variant>
        <vt:i4>5</vt:i4>
      </vt:variant>
      <vt:variant>
        <vt:lpwstr/>
      </vt:variant>
      <vt:variant>
        <vt:lpwstr>_Toc70589141</vt:lpwstr>
      </vt:variant>
      <vt:variant>
        <vt:i4>1966143</vt:i4>
      </vt:variant>
      <vt:variant>
        <vt:i4>302</vt:i4>
      </vt:variant>
      <vt:variant>
        <vt:i4>0</vt:i4>
      </vt:variant>
      <vt:variant>
        <vt:i4>5</vt:i4>
      </vt:variant>
      <vt:variant>
        <vt:lpwstr/>
      </vt:variant>
      <vt:variant>
        <vt:lpwstr>_Toc70589140</vt:lpwstr>
      </vt:variant>
      <vt:variant>
        <vt:i4>1507384</vt:i4>
      </vt:variant>
      <vt:variant>
        <vt:i4>296</vt:i4>
      </vt:variant>
      <vt:variant>
        <vt:i4>0</vt:i4>
      </vt:variant>
      <vt:variant>
        <vt:i4>5</vt:i4>
      </vt:variant>
      <vt:variant>
        <vt:lpwstr/>
      </vt:variant>
      <vt:variant>
        <vt:lpwstr>_Toc70589139</vt:lpwstr>
      </vt:variant>
      <vt:variant>
        <vt:i4>1441848</vt:i4>
      </vt:variant>
      <vt:variant>
        <vt:i4>290</vt:i4>
      </vt:variant>
      <vt:variant>
        <vt:i4>0</vt:i4>
      </vt:variant>
      <vt:variant>
        <vt:i4>5</vt:i4>
      </vt:variant>
      <vt:variant>
        <vt:lpwstr/>
      </vt:variant>
      <vt:variant>
        <vt:lpwstr>_Toc70589138</vt:lpwstr>
      </vt:variant>
      <vt:variant>
        <vt:i4>1638456</vt:i4>
      </vt:variant>
      <vt:variant>
        <vt:i4>284</vt:i4>
      </vt:variant>
      <vt:variant>
        <vt:i4>0</vt:i4>
      </vt:variant>
      <vt:variant>
        <vt:i4>5</vt:i4>
      </vt:variant>
      <vt:variant>
        <vt:lpwstr/>
      </vt:variant>
      <vt:variant>
        <vt:lpwstr>_Toc70589137</vt:lpwstr>
      </vt:variant>
      <vt:variant>
        <vt:i4>1572920</vt:i4>
      </vt:variant>
      <vt:variant>
        <vt:i4>278</vt:i4>
      </vt:variant>
      <vt:variant>
        <vt:i4>0</vt:i4>
      </vt:variant>
      <vt:variant>
        <vt:i4>5</vt:i4>
      </vt:variant>
      <vt:variant>
        <vt:lpwstr/>
      </vt:variant>
      <vt:variant>
        <vt:lpwstr>_Toc70589136</vt:lpwstr>
      </vt:variant>
      <vt:variant>
        <vt:i4>1769528</vt:i4>
      </vt:variant>
      <vt:variant>
        <vt:i4>272</vt:i4>
      </vt:variant>
      <vt:variant>
        <vt:i4>0</vt:i4>
      </vt:variant>
      <vt:variant>
        <vt:i4>5</vt:i4>
      </vt:variant>
      <vt:variant>
        <vt:lpwstr/>
      </vt:variant>
      <vt:variant>
        <vt:lpwstr>_Toc70589135</vt:lpwstr>
      </vt:variant>
      <vt:variant>
        <vt:i4>1703992</vt:i4>
      </vt:variant>
      <vt:variant>
        <vt:i4>266</vt:i4>
      </vt:variant>
      <vt:variant>
        <vt:i4>0</vt:i4>
      </vt:variant>
      <vt:variant>
        <vt:i4>5</vt:i4>
      </vt:variant>
      <vt:variant>
        <vt:lpwstr/>
      </vt:variant>
      <vt:variant>
        <vt:lpwstr>_Toc70589134</vt:lpwstr>
      </vt:variant>
      <vt:variant>
        <vt:i4>1900600</vt:i4>
      </vt:variant>
      <vt:variant>
        <vt:i4>260</vt:i4>
      </vt:variant>
      <vt:variant>
        <vt:i4>0</vt:i4>
      </vt:variant>
      <vt:variant>
        <vt:i4>5</vt:i4>
      </vt:variant>
      <vt:variant>
        <vt:lpwstr/>
      </vt:variant>
      <vt:variant>
        <vt:lpwstr>_Toc70589133</vt:lpwstr>
      </vt:variant>
      <vt:variant>
        <vt:i4>1835064</vt:i4>
      </vt:variant>
      <vt:variant>
        <vt:i4>254</vt:i4>
      </vt:variant>
      <vt:variant>
        <vt:i4>0</vt:i4>
      </vt:variant>
      <vt:variant>
        <vt:i4>5</vt:i4>
      </vt:variant>
      <vt:variant>
        <vt:lpwstr/>
      </vt:variant>
      <vt:variant>
        <vt:lpwstr>_Toc70589132</vt:lpwstr>
      </vt:variant>
      <vt:variant>
        <vt:i4>2031672</vt:i4>
      </vt:variant>
      <vt:variant>
        <vt:i4>248</vt:i4>
      </vt:variant>
      <vt:variant>
        <vt:i4>0</vt:i4>
      </vt:variant>
      <vt:variant>
        <vt:i4>5</vt:i4>
      </vt:variant>
      <vt:variant>
        <vt:lpwstr/>
      </vt:variant>
      <vt:variant>
        <vt:lpwstr>_Toc70589131</vt:lpwstr>
      </vt:variant>
      <vt:variant>
        <vt:i4>1966136</vt:i4>
      </vt:variant>
      <vt:variant>
        <vt:i4>242</vt:i4>
      </vt:variant>
      <vt:variant>
        <vt:i4>0</vt:i4>
      </vt:variant>
      <vt:variant>
        <vt:i4>5</vt:i4>
      </vt:variant>
      <vt:variant>
        <vt:lpwstr/>
      </vt:variant>
      <vt:variant>
        <vt:lpwstr>_Toc70589130</vt:lpwstr>
      </vt:variant>
      <vt:variant>
        <vt:i4>1507385</vt:i4>
      </vt:variant>
      <vt:variant>
        <vt:i4>236</vt:i4>
      </vt:variant>
      <vt:variant>
        <vt:i4>0</vt:i4>
      </vt:variant>
      <vt:variant>
        <vt:i4>5</vt:i4>
      </vt:variant>
      <vt:variant>
        <vt:lpwstr/>
      </vt:variant>
      <vt:variant>
        <vt:lpwstr>_Toc70589129</vt:lpwstr>
      </vt:variant>
      <vt:variant>
        <vt:i4>1441849</vt:i4>
      </vt:variant>
      <vt:variant>
        <vt:i4>230</vt:i4>
      </vt:variant>
      <vt:variant>
        <vt:i4>0</vt:i4>
      </vt:variant>
      <vt:variant>
        <vt:i4>5</vt:i4>
      </vt:variant>
      <vt:variant>
        <vt:lpwstr/>
      </vt:variant>
      <vt:variant>
        <vt:lpwstr>_Toc70589128</vt:lpwstr>
      </vt:variant>
      <vt:variant>
        <vt:i4>1638457</vt:i4>
      </vt:variant>
      <vt:variant>
        <vt:i4>224</vt:i4>
      </vt:variant>
      <vt:variant>
        <vt:i4>0</vt:i4>
      </vt:variant>
      <vt:variant>
        <vt:i4>5</vt:i4>
      </vt:variant>
      <vt:variant>
        <vt:lpwstr/>
      </vt:variant>
      <vt:variant>
        <vt:lpwstr>_Toc70589127</vt:lpwstr>
      </vt:variant>
      <vt:variant>
        <vt:i4>1572921</vt:i4>
      </vt:variant>
      <vt:variant>
        <vt:i4>218</vt:i4>
      </vt:variant>
      <vt:variant>
        <vt:i4>0</vt:i4>
      </vt:variant>
      <vt:variant>
        <vt:i4>5</vt:i4>
      </vt:variant>
      <vt:variant>
        <vt:lpwstr/>
      </vt:variant>
      <vt:variant>
        <vt:lpwstr>_Toc70589126</vt:lpwstr>
      </vt:variant>
      <vt:variant>
        <vt:i4>1769529</vt:i4>
      </vt:variant>
      <vt:variant>
        <vt:i4>212</vt:i4>
      </vt:variant>
      <vt:variant>
        <vt:i4>0</vt:i4>
      </vt:variant>
      <vt:variant>
        <vt:i4>5</vt:i4>
      </vt:variant>
      <vt:variant>
        <vt:lpwstr/>
      </vt:variant>
      <vt:variant>
        <vt:lpwstr>_Toc70589125</vt:lpwstr>
      </vt:variant>
      <vt:variant>
        <vt:i4>1703993</vt:i4>
      </vt:variant>
      <vt:variant>
        <vt:i4>206</vt:i4>
      </vt:variant>
      <vt:variant>
        <vt:i4>0</vt:i4>
      </vt:variant>
      <vt:variant>
        <vt:i4>5</vt:i4>
      </vt:variant>
      <vt:variant>
        <vt:lpwstr/>
      </vt:variant>
      <vt:variant>
        <vt:lpwstr>_Toc70589124</vt:lpwstr>
      </vt:variant>
      <vt:variant>
        <vt:i4>1900601</vt:i4>
      </vt:variant>
      <vt:variant>
        <vt:i4>200</vt:i4>
      </vt:variant>
      <vt:variant>
        <vt:i4>0</vt:i4>
      </vt:variant>
      <vt:variant>
        <vt:i4>5</vt:i4>
      </vt:variant>
      <vt:variant>
        <vt:lpwstr/>
      </vt:variant>
      <vt:variant>
        <vt:lpwstr>_Toc70589123</vt:lpwstr>
      </vt:variant>
      <vt:variant>
        <vt:i4>1835065</vt:i4>
      </vt:variant>
      <vt:variant>
        <vt:i4>194</vt:i4>
      </vt:variant>
      <vt:variant>
        <vt:i4>0</vt:i4>
      </vt:variant>
      <vt:variant>
        <vt:i4>5</vt:i4>
      </vt:variant>
      <vt:variant>
        <vt:lpwstr/>
      </vt:variant>
      <vt:variant>
        <vt:lpwstr>_Toc70589122</vt:lpwstr>
      </vt:variant>
      <vt:variant>
        <vt:i4>2031673</vt:i4>
      </vt:variant>
      <vt:variant>
        <vt:i4>188</vt:i4>
      </vt:variant>
      <vt:variant>
        <vt:i4>0</vt:i4>
      </vt:variant>
      <vt:variant>
        <vt:i4>5</vt:i4>
      </vt:variant>
      <vt:variant>
        <vt:lpwstr/>
      </vt:variant>
      <vt:variant>
        <vt:lpwstr>_Toc70589121</vt:lpwstr>
      </vt:variant>
      <vt:variant>
        <vt:i4>1966137</vt:i4>
      </vt:variant>
      <vt:variant>
        <vt:i4>182</vt:i4>
      </vt:variant>
      <vt:variant>
        <vt:i4>0</vt:i4>
      </vt:variant>
      <vt:variant>
        <vt:i4>5</vt:i4>
      </vt:variant>
      <vt:variant>
        <vt:lpwstr/>
      </vt:variant>
      <vt:variant>
        <vt:lpwstr>_Toc70589120</vt:lpwstr>
      </vt:variant>
      <vt:variant>
        <vt:i4>1507386</vt:i4>
      </vt:variant>
      <vt:variant>
        <vt:i4>176</vt:i4>
      </vt:variant>
      <vt:variant>
        <vt:i4>0</vt:i4>
      </vt:variant>
      <vt:variant>
        <vt:i4>5</vt:i4>
      </vt:variant>
      <vt:variant>
        <vt:lpwstr/>
      </vt:variant>
      <vt:variant>
        <vt:lpwstr>_Toc70589119</vt:lpwstr>
      </vt:variant>
      <vt:variant>
        <vt:i4>1441850</vt:i4>
      </vt:variant>
      <vt:variant>
        <vt:i4>170</vt:i4>
      </vt:variant>
      <vt:variant>
        <vt:i4>0</vt:i4>
      </vt:variant>
      <vt:variant>
        <vt:i4>5</vt:i4>
      </vt:variant>
      <vt:variant>
        <vt:lpwstr/>
      </vt:variant>
      <vt:variant>
        <vt:lpwstr>_Toc70589118</vt:lpwstr>
      </vt:variant>
      <vt:variant>
        <vt:i4>1638458</vt:i4>
      </vt:variant>
      <vt:variant>
        <vt:i4>164</vt:i4>
      </vt:variant>
      <vt:variant>
        <vt:i4>0</vt:i4>
      </vt:variant>
      <vt:variant>
        <vt:i4>5</vt:i4>
      </vt:variant>
      <vt:variant>
        <vt:lpwstr/>
      </vt:variant>
      <vt:variant>
        <vt:lpwstr>_Toc70589117</vt:lpwstr>
      </vt:variant>
      <vt:variant>
        <vt:i4>1572922</vt:i4>
      </vt:variant>
      <vt:variant>
        <vt:i4>158</vt:i4>
      </vt:variant>
      <vt:variant>
        <vt:i4>0</vt:i4>
      </vt:variant>
      <vt:variant>
        <vt:i4>5</vt:i4>
      </vt:variant>
      <vt:variant>
        <vt:lpwstr/>
      </vt:variant>
      <vt:variant>
        <vt:lpwstr>_Toc70589116</vt:lpwstr>
      </vt:variant>
      <vt:variant>
        <vt:i4>1769530</vt:i4>
      </vt:variant>
      <vt:variant>
        <vt:i4>152</vt:i4>
      </vt:variant>
      <vt:variant>
        <vt:i4>0</vt:i4>
      </vt:variant>
      <vt:variant>
        <vt:i4>5</vt:i4>
      </vt:variant>
      <vt:variant>
        <vt:lpwstr/>
      </vt:variant>
      <vt:variant>
        <vt:lpwstr>_Toc70589115</vt:lpwstr>
      </vt:variant>
      <vt:variant>
        <vt:i4>1703994</vt:i4>
      </vt:variant>
      <vt:variant>
        <vt:i4>146</vt:i4>
      </vt:variant>
      <vt:variant>
        <vt:i4>0</vt:i4>
      </vt:variant>
      <vt:variant>
        <vt:i4>5</vt:i4>
      </vt:variant>
      <vt:variant>
        <vt:lpwstr/>
      </vt:variant>
      <vt:variant>
        <vt:lpwstr>_Toc70589114</vt:lpwstr>
      </vt:variant>
      <vt:variant>
        <vt:i4>1900602</vt:i4>
      </vt:variant>
      <vt:variant>
        <vt:i4>140</vt:i4>
      </vt:variant>
      <vt:variant>
        <vt:i4>0</vt:i4>
      </vt:variant>
      <vt:variant>
        <vt:i4>5</vt:i4>
      </vt:variant>
      <vt:variant>
        <vt:lpwstr/>
      </vt:variant>
      <vt:variant>
        <vt:lpwstr>_Toc70589113</vt:lpwstr>
      </vt:variant>
      <vt:variant>
        <vt:i4>1835066</vt:i4>
      </vt:variant>
      <vt:variant>
        <vt:i4>134</vt:i4>
      </vt:variant>
      <vt:variant>
        <vt:i4>0</vt:i4>
      </vt:variant>
      <vt:variant>
        <vt:i4>5</vt:i4>
      </vt:variant>
      <vt:variant>
        <vt:lpwstr/>
      </vt:variant>
      <vt:variant>
        <vt:lpwstr>_Toc70589112</vt:lpwstr>
      </vt:variant>
      <vt:variant>
        <vt:i4>2031674</vt:i4>
      </vt:variant>
      <vt:variant>
        <vt:i4>128</vt:i4>
      </vt:variant>
      <vt:variant>
        <vt:i4>0</vt:i4>
      </vt:variant>
      <vt:variant>
        <vt:i4>5</vt:i4>
      </vt:variant>
      <vt:variant>
        <vt:lpwstr/>
      </vt:variant>
      <vt:variant>
        <vt:lpwstr>_Toc70589111</vt:lpwstr>
      </vt:variant>
      <vt:variant>
        <vt:i4>1966138</vt:i4>
      </vt:variant>
      <vt:variant>
        <vt:i4>122</vt:i4>
      </vt:variant>
      <vt:variant>
        <vt:i4>0</vt:i4>
      </vt:variant>
      <vt:variant>
        <vt:i4>5</vt:i4>
      </vt:variant>
      <vt:variant>
        <vt:lpwstr/>
      </vt:variant>
      <vt:variant>
        <vt:lpwstr>_Toc70589110</vt:lpwstr>
      </vt:variant>
      <vt:variant>
        <vt:i4>1507387</vt:i4>
      </vt:variant>
      <vt:variant>
        <vt:i4>116</vt:i4>
      </vt:variant>
      <vt:variant>
        <vt:i4>0</vt:i4>
      </vt:variant>
      <vt:variant>
        <vt:i4>5</vt:i4>
      </vt:variant>
      <vt:variant>
        <vt:lpwstr/>
      </vt:variant>
      <vt:variant>
        <vt:lpwstr>_Toc70589109</vt:lpwstr>
      </vt:variant>
      <vt:variant>
        <vt:i4>1441851</vt:i4>
      </vt:variant>
      <vt:variant>
        <vt:i4>110</vt:i4>
      </vt:variant>
      <vt:variant>
        <vt:i4>0</vt:i4>
      </vt:variant>
      <vt:variant>
        <vt:i4>5</vt:i4>
      </vt:variant>
      <vt:variant>
        <vt:lpwstr/>
      </vt:variant>
      <vt:variant>
        <vt:lpwstr>_Toc70589108</vt:lpwstr>
      </vt:variant>
      <vt:variant>
        <vt:i4>1638459</vt:i4>
      </vt:variant>
      <vt:variant>
        <vt:i4>104</vt:i4>
      </vt:variant>
      <vt:variant>
        <vt:i4>0</vt:i4>
      </vt:variant>
      <vt:variant>
        <vt:i4>5</vt:i4>
      </vt:variant>
      <vt:variant>
        <vt:lpwstr/>
      </vt:variant>
      <vt:variant>
        <vt:lpwstr>_Toc70589107</vt:lpwstr>
      </vt:variant>
      <vt:variant>
        <vt:i4>1769531</vt:i4>
      </vt:variant>
      <vt:variant>
        <vt:i4>98</vt:i4>
      </vt:variant>
      <vt:variant>
        <vt:i4>0</vt:i4>
      </vt:variant>
      <vt:variant>
        <vt:i4>5</vt:i4>
      </vt:variant>
      <vt:variant>
        <vt:lpwstr/>
      </vt:variant>
      <vt:variant>
        <vt:lpwstr>_Toc70589105</vt:lpwstr>
      </vt:variant>
      <vt:variant>
        <vt:i4>1703995</vt:i4>
      </vt:variant>
      <vt:variant>
        <vt:i4>92</vt:i4>
      </vt:variant>
      <vt:variant>
        <vt:i4>0</vt:i4>
      </vt:variant>
      <vt:variant>
        <vt:i4>5</vt:i4>
      </vt:variant>
      <vt:variant>
        <vt:lpwstr/>
      </vt:variant>
      <vt:variant>
        <vt:lpwstr>_Toc70589104</vt:lpwstr>
      </vt:variant>
      <vt:variant>
        <vt:i4>1900603</vt:i4>
      </vt:variant>
      <vt:variant>
        <vt:i4>86</vt:i4>
      </vt:variant>
      <vt:variant>
        <vt:i4>0</vt:i4>
      </vt:variant>
      <vt:variant>
        <vt:i4>5</vt:i4>
      </vt:variant>
      <vt:variant>
        <vt:lpwstr/>
      </vt:variant>
      <vt:variant>
        <vt:lpwstr>_Toc70589103</vt:lpwstr>
      </vt:variant>
      <vt:variant>
        <vt:i4>1835067</vt:i4>
      </vt:variant>
      <vt:variant>
        <vt:i4>80</vt:i4>
      </vt:variant>
      <vt:variant>
        <vt:i4>0</vt:i4>
      </vt:variant>
      <vt:variant>
        <vt:i4>5</vt:i4>
      </vt:variant>
      <vt:variant>
        <vt:lpwstr/>
      </vt:variant>
      <vt:variant>
        <vt:lpwstr>_Toc70589102</vt:lpwstr>
      </vt:variant>
      <vt:variant>
        <vt:i4>2031675</vt:i4>
      </vt:variant>
      <vt:variant>
        <vt:i4>74</vt:i4>
      </vt:variant>
      <vt:variant>
        <vt:i4>0</vt:i4>
      </vt:variant>
      <vt:variant>
        <vt:i4>5</vt:i4>
      </vt:variant>
      <vt:variant>
        <vt:lpwstr/>
      </vt:variant>
      <vt:variant>
        <vt:lpwstr>_Toc70589101</vt:lpwstr>
      </vt:variant>
      <vt:variant>
        <vt:i4>1572914</vt:i4>
      </vt:variant>
      <vt:variant>
        <vt:i4>68</vt:i4>
      </vt:variant>
      <vt:variant>
        <vt:i4>0</vt:i4>
      </vt:variant>
      <vt:variant>
        <vt:i4>5</vt:i4>
      </vt:variant>
      <vt:variant>
        <vt:lpwstr/>
      </vt:variant>
      <vt:variant>
        <vt:lpwstr>_Toc70589097</vt:lpwstr>
      </vt:variant>
      <vt:variant>
        <vt:i4>1638450</vt:i4>
      </vt:variant>
      <vt:variant>
        <vt:i4>62</vt:i4>
      </vt:variant>
      <vt:variant>
        <vt:i4>0</vt:i4>
      </vt:variant>
      <vt:variant>
        <vt:i4>5</vt:i4>
      </vt:variant>
      <vt:variant>
        <vt:lpwstr/>
      </vt:variant>
      <vt:variant>
        <vt:lpwstr>_Toc70589096</vt:lpwstr>
      </vt:variant>
      <vt:variant>
        <vt:i4>1703986</vt:i4>
      </vt:variant>
      <vt:variant>
        <vt:i4>56</vt:i4>
      </vt:variant>
      <vt:variant>
        <vt:i4>0</vt:i4>
      </vt:variant>
      <vt:variant>
        <vt:i4>5</vt:i4>
      </vt:variant>
      <vt:variant>
        <vt:lpwstr/>
      </vt:variant>
      <vt:variant>
        <vt:lpwstr>_Toc70589095</vt:lpwstr>
      </vt:variant>
      <vt:variant>
        <vt:i4>1769522</vt:i4>
      </vt:variant>
      <vt:variant>
        <vt:i4>50</vt:i4>
      </vt:variant>
      <vt:variant>
        <vt:i4>0</vt:i4>
      </vt:variant>
      <vt:variant>
        <vt:i4>5</vt:i4>
      </vt:variant>
      <vt:variant>
        <vt:lpwstr/>
      </vt:variant>
      <vt:variant>
        <vt:lpwstr>_Toc70589094</vt:lpwstr>
      </vt:variant>
      <vt:variant>
        <vt:i4>1835058</vt:i4>
      </vt:variant>
      <vt:variant>
        <vt:i4>44</vt:i4>
      </vt:variant>
      <vt:variant>
        <vt:i4>0</vt:i4>
      </vt:variant>
      <vt:variant>
        <vt:i4>5</vt:i4>
      </vt:variant>
      <vt:variant>
        <vt:lpwstr/>
      </vt:variant>
      <vt:variant>
        <vt:lpwstr>_Toc70589093</vt:lpwstr>
      </vt:variant>
      <vt:variant>
        <vt:i4>1900594</vt:i4>
      </vt:variant>
      <vt:variant>
        <vt:i4>38</vt:i4>
      </vt:variant>
      <vt:variant>
        <vt:i4>0</vt:i4>
      </vt:variant>
      <vt:variant>
        <vt:i4>5</vt:i4>
      </vt:variant>
      <vt:variant>
        <vt:lpwstr/>
      </vt:variant>
      <vt:variant>
        <vt:lpwstr>_Toc70589092</vt:lpwstr>
      </vt:variant>
      <vt:variant>
        <vt:i4>1966130</vt:i4>
      </vt:variant>
      <vt:variant>
        <vt:i4>32</vt:i4>
      </vt:variant>
      <vt:variant>
        <vt:i4>0</vt:i4>
      </vt:variant>
      <vt:variant>
        <vt:i4>5</vt:i4>
      </vt:variant>
      <vt:variant>
        <vt:lpwstr/>
      </vt:variant>
      <vt:variant>
        <vt:lpwstr>_Toc70589091</vt:lpwstr>
      </vt:variant>
      <vt:variant>
        <vt:i4>2031666</vt:i4>
      </vt:variant>
      <vt:variant>
        <vt:i4>26</vt:i4>
      </vt:variant>
      <vt:variant>
        <vt:i4>0</vt:i4>
      </vt:variant>
      <vt:variant>
        <vt:i4>5</vt:i4>
      </vt:variant>
      <vt:variant>
        <vt:lpwstr/>
      </vt:variant>
      <vt:variant>
        <vt:lpwstr>_Toc70589090</vt:lpwstr>
      </vt:variant>
      <vt:variant>
        <vt:i4>1441843</vt:i4>
      </vt:variant>
      <vt:variant>
        <vt:i4>20</vt:i4>
      </vt:variant>
      <vt:variant>
        <vt:i4>0</vt:i4>
      </vt:variant>
      <vt:variant>
        <vt:i4>5</vt:i4>
      </vt:variant>
      <vt:variant>
        <vt:lpwstr/>
      </vt:variant>
      <vt:variant>
        <vt:lpwstr>_Toc70589089</vt:lpwstr>
      </vt:variant>
      <vt:variant>
        <vt:i4>1507379</vt:i4>
      </vt:variant>
      <vt:variant>
        <vt:i4>14</vt:i4>
      </vt:variant>
      <vt:variant>
        <vt:i4>0</vt:i4>
      </vt:variant>
      <vt:variant>
        <vt:i4>5</vt:i4>
      </vt:variant>
      <vt:variant>
        <vt:lpwstr/>
      </vt:variant>
      <vt:variant>
        <vt:lpwstr>_Toc70589088</vt:lpwstr>
      </vt:variant>
      <vt:variant>
        <vt:i4>1572915</vt:i4>
      </vt:variant>
      <vt:variant>
        <vt:i4>8</vt:i4>
      </vt:variant>
      <vt:variant>
        <vt:i4>0</vt:i4>
      </vt:variant>
      <vt:variant>
        <vt:i4>5</vt:i4>
      </vt:variant>
      <vt:variant>
        <vt:lpwstr/>
      </vt:variant>
      <vt:variant>
        <vt:lpwstr>_Toc70589087</vt:lpwstr>
      </vt:variant>
      <vt:variant>
        <vt:i4>1638451</vt:i4>
      </vt:variant>
      <vt:variant>
        <vt:i4>2</vt:i4>
      </vt:variant>
      <vt:variant>
        <vt:i4>0</vt:i4>
      </vt:variant>
      <vt:variant>
        <vt:i4>5</vt:i4>
      </vt:variant>
      <vt:variant>
        <vt:lpwstr/>
      </vt:variant>
      <vt:variant>
        <vt:lpwstr>_Toc70589086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końcowe z wdrażania RPO WP 2014-2020</dc:title>
  <dc:subject/>
  <dc:creator>Agnieszka Rojek</dc:creator>
  <cp:keywords>Sprawozdanie RPO WP</cp:keywords>
  <dc:description/>
  <cp:lastModifiedBy>Rojek Agnieszka</cp:lastModifiedBy>
  <cp:revision>2</cp:revision>
  <cp:lastPrinted>2025-09-22T10:37:00Z</cp:lastPrinted>
  <dcterms:created xsi:type="dcterms:W3CDTF">2025-12-01T09:35:00Z</dcterms:created>
  <dcterms:modified xsi:type="dcterms:W3CDTF">2025-12-01T09:35:00Z</dcterms:modified>
</cp:coreProperties>
</file>