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D" w:rsidRDefault="00CD63AD" w:rsidP="00AB1C6C">
      <w:pPr>
        <w:pStyle w:val="Nagwek1"/>
      </w:pPr>
    </w:p>
    <w:p w:rsidR="00833A53" w:rsidRPr="00D3575F" w:rsidRDefault="00833A53" w:rsidP="00AB1C6C">
      <w:pPr>
        <w:pStyle w:val="Nagwek1"/>
        <w:rPr>
          <w:b w:val="0"/>
        </w:rPr>
      </w:pPr>
      <w:r w:rsidRPr="00D3575F">
        <w:t>TERMIN</w:t>
      </w:r>
    </w:p>
    <w:p w:rsidR="00833A53" w:rsidRPr="00F74F1C" w:rsidRDefault="00CD63AD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B313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października</w:t>
      </w:r>
      <w:r w:rsidR="00833A53" w:rsidRPr="00F74F1C">
        <w:rPr>
          <w:rFonts w:asciiTheme="minorHAnsi" w:hAnsiTheme="minorHAnsi" w:cstheme="minorHAnsi"/>
        </w:rPr>
        <w:t xml:space="preserve"> 2023 r.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MIEJSCE</w:t>
      </w:r>
    </w:p>
    <w:p w:rsidR="00833A53" w:rsidRPr="00F74F1C" w:rsidRDefault="00CD63AD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Platforma Zoom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ORGANIZATOR</w:t>
      </w:r>
    </w:p>
    <w:p w:rsidR="00833A53" w:rsidRPr="00F74F1C" w:rsidRDefault="00833A53" w:rsidP="00833A53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Departament </w:t>
      </w:r>
      <w:r w:rsidR="00907792">
        <w:rPr>
          <w:rFonts w:asciiTheme="minorHAnsi" w:hAnsiTheme="minorHAnsi" w:cstheme="minorHAnsi"/>
        </w:rPr>
        <w:t xml:space="preserve">Programów Regionalnych </w:t>
      </w:r>
      <w:r w:rsidR="00425E23">
        <w:rPr>
          <w:rFonts w:asciiTheme="minorHAnsi" w:hAnsiTheme="minorHAnsi" w:cstheme="minorHAnsi"/>
        </w:rPr>
        <w:t>(D</w:t>
      </w:r>
      <w:r w:rsidR="00907792">
        <w:rPr>
          <w:rFonts w:asciiTheme="minorHAnsi" w:hAnsiTheme="minorHAnsi" w:cstheme="minorHAnsi"/>
        </w:rPr>
        <w:t>PR</w:t>
      </w:r>
      <w:r w:rsidR="00425E23">
        <w:rPr>
          <w:rFonts w:asciiTheme="minorHAnsi" w:hAnsiTheme="minorHAnsi" w:cstheme="minorHAnsi"/>
        </w:rPr>
        <w:t>)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KONTAKT</w:t>
      </w:r>
    </w:p>
    <w:p w:rsidR="00A226EF" w:rsidRDefault="00907792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Martyna Sawicka</w:t>
      </w:r>
      <w:r w:rsidR="00A226EF">
        <w:rPr>
          <w:rFonts w:asciiTheme="minorHAnsi" w:hAnsiTheme="minorHAnsi" w:cstheme="minorHAnsi"/>
        </w:rPr>
        <w:br/>
      </w:r>
      <w:r w:rsidR="00833A53">
        <w:rPr>
          <w:rFonts w:asciiTheme="minorHAnsi" w:hAnsiTheme="minorHAnsi" w:cstheme="minorHAnsi"/>
        </w:rPr>
        <w:t>e-</w:t>
      </w:r>
      <w:r w:rsidR="00833A53" w:rsidRPr="00DD3638">
        <w:rPr>
          <w:rFonts w:asciiTheme="minorHAnsi" w:hAnsiTheme="minorHAnsi" w:cstheme="minorHAnsi"/>
        </w:rPr>
        <w:t xml:space="preserve">mail: </w:t>
      </w:r>
      <w:hyperlink r:id="rId8" w:history="1">
        <w:r w:rsidRPr="001A6222">
          <w:rPr>
            <w:rStyle w:val="Hipercze"/>
            <w:rFonts w:asciiTheme="minorHAnsi" w:hAnsiTheme="minorHAnsi" w:cstheme="minorHAnsi"/>
          </w:rPr>
          <w:t>m.sawicka@pomorskie.eu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="00833A53" w:rsidRPr="00DD3638">
        <w:rPr>
          <w:rFonts w:asciiTheme="minorHAnsi" w:hAnsiTheme="minorHAnsi" w:cstheme="minorHAnsi"/>
        </w:rPr>
        <w:t>tel. 58 32 68</w:t>
      </w:r>
      <w:r w:rsidR="00986F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175</w:t>
      </w:r>
    </w:p>
    <w:p w:rsidR="00986FBE" w:rsidRDefault="00986FBE" w:rsidP="00A226EF">
      <w:pPr>
        <w:rPr>
          <w:rFonts w:asciiTheme="minorHAnsi" w:hAnsiTheme="minorHAnsi" w:cstheme="minorHAnsi"/>
        </w:rPr>
      </w:pPr>
    </w:p>
    <w:p w:rsidR="00986FBE" w:rsidRDefault="00986FBE" w:rsidP="00A226EF">
      <w:pPr>
        <w:rPr>
          <w:rFonts w:asciiTheme="minorHAnsi" w:hAnsiTheme="minorHAnsi" w:cstheme="minorHAnsi"/>
        </w:rPr>
      </w:pPr>
    </w:p>
    <w:p w:rsidR="00D3575F" w:rsidRPr="00D82705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D82705">
        <w:rPr>
          <w:rFonts w:asciiTheme="minorHAnsi" w:hAnsiTheme="minorHAnsi" w:cstheme="minorHAnsi"/>
        </w:rPr>
        <w:t xml:space="preserve">Spotkanie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jest współfinansowane </w:t>
      </w:r>
      <w:r w:rsidRPr="00D82705">
        <w:rPr>
          <w:rFonts w:asciiTheme="minorHAnsi" w:hAnsiTheme="minorHAnsi" w:cstheme="minorHAnsi"/>
        </w:rPr>
        <w:br/>
        <w:t xml:space="preserve">z Europejskiego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Funduszu Społecznego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>w ramach Regionalnego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:rsidR="00205DAB" w:rsidRDefault="0009169F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7653B1">
        <w:rPr>
          <w:rFonts w:asciiTheme="minorHAnsi" w:hAnsiTheme="minorHAnsi" w:cstheme="minorHAnsi"/>
          <w:b/>
          <w:sz w:val="28"/>
          <w:szCs w:val="28"/>
        </w:rPr>
        <w:t>Spotkanie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informacyjne</w:t>
      </w:r>
      <w:r w:rsidR="00CD63AD">
        <w:rPr>
          <w:rFonts w:asciiTheme="minorHAnsi" w:hAnsiTheme="minorHAnsi" w:cstheme="minorHAnsi"/>
          <w:b/>
          <w:sz w:val="28"/>
          <w:szCs w:val="28"/>
        </w:rPr>
        <w:t xml:space="preserve"> ONLINE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5D93">
        <w:rPr>
          <w:rFonts w:asciiTheme="minorHAnsi" w:hAnsiTheme="minorHAnsi" w:cstheme="minorHAnsi"/>
          <w:b/>
          <w:sz w:val="28"/>
          <w:szCs w:val="28"/>
        </w:rPr>
        <w:t xml:space="preserve">z zasad horyzontalnych </w:t>
      </w:r>
      <w:r w:rsidR="00985D93">
        <w:rPr>
          <w:rFonts w:asciiTheme="minorHAnsi" w:hAnsiTheme="minorHAnsi" w:cstheme="minorHAnsi"/>
          <w:b/>
          <w:sz w:val="28"/>
          <w:szCs w:val="28"/>
        </w:rPr>
        <w:br/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dla wnioskodawców aplikujących w </w:t>
      </w:r>
      <w:r w:rsidR="005B313F">
        <w:rPr>
          <w:rFonts w:asciiTheme="minorHAnsi" w:hAnsiTheme="minorHAnsi" w:cstheme="minorHAnsi"/>
          <w:b/>
          <w:sz w:val="28"/>
          <w:szCs w:val="28"/>
        </w:rPr>
        <w:t>naborach</w:t>
      </w:r>
      <w:r w:rsidR="006B418B">
        <w:rPr>
          <w:rFonts w:asciiTheme="minorHAnsi" w:hAnsiTheme="minorHAnsi" w:cstheme="minorHAnsi"/>
          <w:b/>
          <w:sz w:val="28"/>
          <w:szCs w:val="28"/>
        </w:rPr>
        <w:t xml:space="preserve"> finansowanych z EFRR </w:t>
      </w:r>
      <w:r w:rsidR="00985D93">
        <w:rPr>
          <w:rFonts w:asciiTheme="minorHAnsi" w:hAnsiTheme="minorHAnsi" w:cstheme="minorHAnsi"/>
          <w:b/>
          <w:sz w:val="28"/>
          <w:szCs w:val="28"/>
        </w:rPr>
        <w:t xml:space="preserve">i EFS </w:t>
      </w:r>
      <w:r w:rsidR="005B313F">
        <w:rPr>
          <w:rFonts w:asciiTheme="minorHAnsi" w:hAnsiTheme="minorHAnsi" w:cstheme="minorHAnsi"/>
          <w:b/>
          <w:sz w:val="28"/>
          <w:szCs w:val="28"/>
        </w:rPr>
        <w:t xml:space="preserve">w 2023 roku </w:t>
      </w:r>
      <w:r w:rsidR="00907792"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907792" w:rsidRPr="00F55762" w:rsidRDefault="00907792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8</w:t>
      </w:r>
      <w:r w:rsidR="00082DBF" w:rsidRPr="00F55762">
        <w:rPr>
          <w:rFonts w:asciiTheme="minorHAnsi" w:hAnsiTheme="minorHAnsi" w:cstheme="minorHAnsi"/>
          <w:sz w:val="22"/>
          <w:szCs w:val="22"/>
        </w:rPr>
        <w:t>:</w:t>
      </w:r>
      <w:r w:rsidR="00CD63AD" w:rsidRPr="00F55762">
        <w:rPr>
          <w:rFonts w:asciiTheme="minorHAnsi" w:hAnsiTheme="minorHAnsi" w:cstheme="minorHAnsi"/>
          <w:sz w:val="22"/>
          <w:szCs w:val="22"/>
        </w:rPr>
        <w:t>45</w:t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sz w:val="22"/>
          <w:szCs w:val="22"/>
        </w:rPr>
        <w:t xml:space="preserve">Rejestracja </w:t>
      </w:r>
      <w:r w:rsidR="00082DBF" w:rsidRPr="00F55762">
        <w:rPr>
          <w:rFonts w:asciiTheme="minorHAnsi" w:hAnsiTheme="minorHAnsi" w:cstheme="minorHAnsi"/>
          <w:sz w:val="22"/>
          <w:szCs w:val="22"/>
        </w:rPr>
        <w:t>uczestników</w:t>
      </w:r>
      <w:r w:rsidR="00CD63AD" w:rsidRPr="00F55762">
        <w:rPr>
          <w:rFonts w:asciiTheme="minorHAnsi" w:hAnsiTheme="minorHAnsi" w:cstheme="minorHAnsi"/>
          <w:sz w:val="22"/>
          <w:szCs w:val="22"/>
        </w:rPr>
        <w:t xml:space="preserve"> na platformę Zoom</w:t>
      </w:r>
    </w:p>
    <w:p w:rsidR="00907792" w:rsidRPr="00F55762" w:rsidRDefault="00907792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9:00 – 9:</w:t>
      </w:r>
      <w:r w:rsidR="005B313F">
        <w:rPr>
          <w:rFonts w:asciiTheme="minorHAnsi" w:hAnsiTheme="minorHAnsi" w:cstheme="minorHAnsi"/>
          <w:sz w:val="22"/>
          <w:szCs w:val="22"/>
        </w:rPr>
        <w:t>05</w:t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b/>
          <w:sz w:val="22"/>
          <w:szCs w:val="22"/>
        </w:rPr>
        <w:t>Powitanie uczestników</w:t>
      </w:r>
      <w:r w:rsidRPr="00F55762">
        <w:rPr>
          <w:rFonts w:asciiTheme="minorHAnsi" w:hAnsiTheme="minorHAnsi" w:cstheme="minorHAnsi"/>
          <w:sz w:val="22"/>
          <w:szCs w:val="22"/>
        </w:rPr>
        <w:br/>
        <w:t>Jan Szymański, Dyrektor Departamentu Programów Regionalnych (DPR)</w:t>
      </w:r>
    </w:p>
    <w:p w:rsidR="00082DBF" w:rsidRPr="00F55762" w:rsidRDefault="00907792" w:rsidP="00EE0E9F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9</w:t>
      </w:r>
      <w:r w:rsidR="00082DBF" w:rsidRPr="00F55762">
        <w:rPr>
          <w:rFonts w:asciiTheme="minorHAnsi" w:hAnsiTheme="minorHAnsi" w:cstheme="minorHAnsi"/>
          <w:sz w:val="22"/>
          <w:szCs w:val="22"/>
        </w:rPr>
        <w:t>:</w:t>
      </w:r>
      <w:r w:rsidR="00895B11">
        <w:rPr>
          <w:rFonts w:asciiTheme="minorHAnsi" w:hAnsiTheme="minorHAnsi" w:cstheme="minorHAnsi"/>
          <w:sz w:val="22"/>
          <w:szCs w:val="22"/>
        </w:rPr>
        <w:t>05</w:t>
      </w:r>
      <w:r w:rsidR="00082DBF" w:rsidRPr="00F55762">
        <w:rPr>
          <w:rFonts w:asciiTheme="minorHAnsi" w:hAnsiTheme="minorHAnsi" w:cstheme="minorHAnsi"/>
          <w:sz w:val="22"/>
          <w:szCs w:val="22"/>
        </w:rPr>
        <w:t xml:space="preserve"> – </w:t>
      </w:r>
      <w:r w:rsidR="00F55762" w:rsidRPr="00F55762">
        <w:rPr>
          <w:rFonts w:asciiTheme="minorHAnsi" w:hAnsiTheme="minorHAnsi" w:cstheme="minorHAnsi"/>
          <w:sz w:val="22"/>
          <w:szCs w:val="22"/>
        </w:rPr>
        <w:t>10</w:t>
      </w:r>
      <w:r w:rsidRPr="00F55762">
        <w:rPr>
          <w:rFonts w:asciiTheme="minorHAnsi" w:hAnsiTheme="minorHAnsi" w:cstheme="minorHAnsi"/>
          <w:sz w:val="22"/>
          <w:szCs w:val="22"/>
        </w:rPr>
        <w:t>:</w:t>
      </w:r>
      <w:r w:rsidR="00895B11">
        <w:rPr>
          <w:rFonts w:asciiTheme="minorHAnsi" w:hAnsiTheme="minorHAnsi" w:cstheme="minorHAnsi"/>
          <w:sz w:val="22"/>
          <w:szCs w:val="22"/>
        </w:rPr>
        <w:t>15</w:t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bookmarkStart w:id="0" w:name="_Hlk131507023"/>
      <w:r w:rsidR="00895B11">
        <w:rPr>
          <w:rFonts w:asciiTheme="minorHAnsi" w:hAnsiTheme="minorHAnsi" w:cstheme="minorHAnsi"/>
          <w:b/>
          <w:sz w:val="22"/>
          <w:szCs w:val="22"/>
        </w:rPr>
        <w:t xml:space="preserve">Zasady środowiskowe – praktyczne zastosowanie kryterium DNSH w naborach wniosków </w:t>
      </w:r>
    </w:p>
    <w:p w:rsidR="00082DBF" w:rsidRPr="00F55762" w:rsidRDefault="00833A53" w:rsidP="00EE0E9F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ab/>
      </w:r>
      <w:bookmarkEnd w:id="0"/>
      <w:r w:rsidR="005B313F">
        <w:rPr>
          <w:rFonts w:asciiTheme="minorHAnsi" w:hAnsiTheme="minorHAnsi" w:cstheme="minorHAnsi"/>
          <w:sz w:val="22"/>
          <w:szCs w:val="22"/>
        </w:rPr>
        <w:t xml:space="preserve">Joanna Skierka, Kamilla Muńska, </w:t>
      </w:r>
      <w:r w:rsidR="00907792" w:rsidRPr="00F55762">
        <w:rPr>
          <w:rFonts w:asciiTheme="minorHAnsi" w:hAnsiTheme="minorHAnsi" w:cstheme="minorHAnsi"/>
          <w:sz w:val="22"/>
          <w:szCs w:val="22"/>
        </w:rPr>
        <w:t>DPR</w:t>
      </w:r>
    </w:p>
    <w:p w:rsidR="008939DE" w:rsidRPr="00F55762" w:rsidRDefault="008939DE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1" w:name="_Hlk138765839"/>
      <w:r w:rsidRPr="00F55762">
        <w:rPr>
          <w:rFonts w:ascii="Calibri" w:hAnsi="Calibri" w:cs="Calibri"/>
          <w:sz w:val="22"/>
          <w:szCs w:val="22"/>
        </w:rPr>
        <w:t>1</w:t>
      </w:r>
      <w:r w:rsidR="00895B11">
        <w:rPr>
          <w:rFonts w:ascii="Calibri" w:hAnsi="Calibri" w:cs="Calibri"/>
          <w:sz w:val="22"/>
          <w:szCs w:val="22"/>
        </w:rPr>
        <w:t>0</w:t>
      </w:r>
      <w:r w:rsidR="00907792"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895B11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3</w:t>
      </w:r>
      <w:r w:rsidR="00251B38" w:rsidRPr="00F55762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ab/>
        <w:t xml:space="preserve">Przerwa </w:t>
      </w:r>
    </w:p>
    <w:p w:rsidR="00F55762" w:rsidRDefault="00082DBF" w:rsidP="00F55762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895B11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30</w:t>
      </w:r>
      <w:r w:rsidRPr="00F55762">
        <w:rPr>
          <w:rFonts w:ascii="Calibri" w:hAnsi="Calibri" w:cs="Calibri"/>
          <w:sz w:val="22"/>
          <w:szCs w:val="22"/>
        </w:rPr>
        <w:t xml:space="preserve"> – </w:t>
      </w:r>
      <w:r w:rsidR="008939DE" w:rsidRPr="00F55762">
        <w:rPr>
          <w:rFonts w:ascii="Calibri" w:hAnsi="Calibri" w:cs="Calibri"/>
          <w:sz w:val="22"/>
          <w:szCs w:val="22"/>
        </w:rPr>
        <w:t>1</w:t>
      </w:r>
      <w:r w:rsidR="00895B11">
        <w:rPr>
          <w:rFonts w:ascii="Calibri" w:hAnsi="Calibri" w:cs="Calibri"/>
          <w:sz w:val="22"/>
          <w:szCs w:val="22"/>
        </w:rPr>
        <w:t>1</w:t>
      </w:r>
      <w:r w:rsidRPr="00F55762">
        <w:rPr>
          <w:rFonts w:ascii="Calibri" w:hAnsi="Calibri" w:cs="Calibri"/>
          <w:sz w:val="22"/>
          <w:szCs w:val="22"/>
        </w:rPr>
        <w:t>:</w:t>
      </w:r>
      <w:bookmarkEnd w:id="1"/>
      <w:r w:rsidR="00F55762" w:rsidRPr="00F55762">
        <w:rPr>
          <w:rFonts w:ascii="Calibri" w:hAnsi="Calibri" w:cs="Calibri"/>
          <w:sz w:val="22"/>
          <w:szCs w:val="22"/>
        </w:rPr>
        <w:t>30</w:t>
      </w:r>
      <w:r w:rsidRPr="00F55762">
        <w:rPr>
          <w:rFonts w:ascii="Calibri" w:hAnsi="Calibri" w:cs="Calibri"/>
          <w:sz w:val="22"/>
          <w:szCs w:val="22"/>
        </w:rPr>
        <w:tab/>
      </w:r>
      <w:r w:rsidR="00895B11">
        <w:rPr>
          <w:rFonts w:ascii="Calibri" w:hAnsi="Calibri" w:cs="Calibri"/>
          <w:b/>
          <w:sz w:val="22"/>
          <w:szCs w:val="22"/>
        </w:rPr>
        <w:t xml:space="preserve">Zasady równościowe </w:t>
      </w:r>
      <w:r w:rsidR="00895B11">
        <w:rPr>
          <w:rFonts w:ascii="Calibri" w:hAnsi="Calibri" w:cs="Calibri"/>
          <w:b/>
          <w:sz w:val="22"/>
          <w:szCs w:val="22"/>
        </w:rPr>
        <w:br/>
      </w:r>
      <w:r w:rsidR="00895B11" w:rsidRPr="00895B11">
        <w:rPr>
          <w:rFonts w:ascii="Calibri" w:hAnsi="Calibri" w:cs="Calibri"/>
          <w:sz w:val="22"/>
          <w:szCs w:val="22"/>
        </w:rPr>
        <w:t>Anna Bi</w:t>
      </w:r>
      <w:r w:rsidR="00985D93">
        <w:rPr>
          <w:rFonts w:ascii="Calibri" w:hAnsi="Calibri" w:cs="Calibri"/>
          <w:sz w:val="22"/>
          <w:szCs w:val="22"/>
        </w:rPr>
        <w:t>zu</w:t>
      </w:r>
      <w:r w:rsidR="00895B11" w:rsidRPr="00895B11">
        <w:rPr>
          <w:rFonts w:ascii="Calibri" w:hAnsi="Calibri" w:cs="Calibri"/>
          <w:sz w:val="22"/>
          <w:szCs w:val="22"/>
        </w:rPr>
        <w:t>b-Jechna, koordynatorka ds. polityk horyzontalnych, DEFS</w:t>
      </w:r>
    </w:p>
    <w:p w:rsidR="00F0427C" w:rsidRPr="00F55762" w:rsidRDefault="00F0427C" w:rsidP="00F0427C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0427C">
        <w:rPr>
          <w:rFonts w:ascii="Calibri" w:hAnsi="Calibri" w:cs="Calibri"/>
          <w:sz w:val="22"/>
          <w:szCs w:val="22"/>
        </w:rPr>
        <w:t>11:30</w:t>
      </w:r>
      <w:r w:rsidR="00E54315">
        <w:rPr>
          <w:rFonts w:ascii="Calibri" w:hAnsi="Calibri" w:cs="Calibri"/>
          <w:sz w:val="22"/>
          <w:szCs w:val="22"/>
        </w:rPr>
        <w:t xml:space="preserve"> </w:t>
      </w:r>
      <w:bookmarkStart w:id="2" w:name="_GoBack"/>
      <w:bookmarkEnd w:id="2"/>
      <w:r w:rsidR="00E54315">
        <w:rPr>
          <w:rFonts w:ascii="Calibri" w:hAnsi="Calibri" w:cs="Calibri"/>
          <w:sz w:val="22"/>
          <w:szCs w:val="22"/>
        </w:rPr>
        <w:t xml:space="preserve">– </w:t>
      </w:r>
      <w:r w:rsidRPr="00F0427C">
        <w:rPr>
          <w:rFonts w:ascii="Calibri" w:hAnsi="Calibri" w:cs="Calibri"/>
          <w:sz w:val="22"/>
          <w:szCs w:val="22"/>
        </w:rPr>
        <w:t>1</w:t>
      </w:r>
      <w:r w:rsidR="00985D93">
        <w:rPr>
          <w:rFonts w:ascii="Calibri" w:hAnsi="Calibri" w:cs="Calibri"/>
          <w:sz w:val="22"/>
          <w:szCs w:val="22"/>
        </w:rPr>
        <w:t>2</w:t>
      </w:r>
      <w:r w:rsidRPr="00F0427C">
        <w:rPr>
          <w:rFonts w:ascii="Calibri" w:hAnsi="Calibri" w:cs="Calibri"/>
          <w:sz w:val="22"/>
          <w:szCs w:val="22"/>
        </w:rPr>
        <w:t>:</w:t>
      </w:r>
      <w:r w:rsidR="00985D93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Widoczność projektów</w:t>
      </w:r>
      <w:r>
        <w:rPr>
          <w:rFonts w:ascii="Calibri" w:hAnsi="Calibri" w:cs="Calibri"/>
          <w:b/>
          <w:sz w:val="22"/>
          <w:szCs w:val="22"/>
        </w:rPr>
        <w:br/>
      </w:r>
      <w:r w:rsidRPr="00F0427C">
        <w:rPr>
          <w:rFonts w:ascii="Calibri" w:hAnsi="Calibri" w:cs="Calibri"/>
          <w:sz w:val="22"/>
          <w:szCs w:val="22"/>
        </w:rPr>
        <w:t>Martyna Sawicka, DPR</w:t>
      </w:r>
    </w:p>
    <w:p w:rsidR="00B85990" w:rsidRPr="00F55762" w:rsidRDefault="00B85990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3" w:name="_Hlk139619463"/>
      <w:r w:rsidRPr="00F55762">
        <w:rPr>
          <w:rFonts w:ascii="Calibri" w:hAnsi="Calibri" w:cs="Calibri"/>
          <w:sz w:val="22"/>
          <w:szCs w:val="22"/>
        </w:rPr>
        <w:t>1</w:t>
      </w:r>
      <w:r w:rsidR="00985D93">
        <w:rPr>
          <w:rFonts w:ascii="Calibri" w:hAnsi="Calibri" w:cs="Calibri"/>
          <w:sz w:val="22"/>
          <w:szCs w:val="22"/>
        </w:rPr>
        <w:t>2</w:t>
      </w:r>
      <w:r w:rsidR="00986FBE" w:rsidRPr="00F55762">
        <w:rPr>
          <w:rFonts w:ascii="Calibri" w:hAnsi="Calibri" w:cs="Calibri"/>
          <w:sz w:val="22"/>
          <w:szCs w:val="22"/>
        </w:rPr>
        <w:t>:</w:t>
      </w:r>
      <w:r w:rsidR="00985D93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F0427C">
        <w:rPr>
          <w:rFonts w:ascii="Calibri" w:hAnsi="Calibri" w:cs="Calibri"/>
          <w:sz w:val="22"/>
          <w:szCs w:val="22"/>
        </w:rPr>
        <w:t>2</w:t>
      </w:r>
      <w:r w:rsidRPr="00F55762">
        <w:rPr>
          <w:rFonts w:ascii="Calibri" w:hAnsi="Calibri" w:cs="Calibri"/>
          <w:sz w:val="22"/>
          <w:szCs w:val="22"/>
        </w:rPr>
        <w:t>:</w:t>
      </w:r>
      <w:r w:rsidR="00985D93">
        <w:rPr>
          <w:rFonts w:ascii="Calibri" w:hAnsi="Calibri" w:cs="Calibri"/>
          <w:sz w:val="22"/>
          <w:szCs w:val="22"/>
        </w:rPr>
        <w:t>3</w:t>
      </w:r>
      <w:r w:rsidR="00F55762" w:rsidRPr="00F55762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ab/>
      </w:r>
      <w:bookmarkEnd w:id="3"/>
      <w:r w:rsidR="000875E6" w:rsidRPr="00F55762">
        <w:rPr>
          <w:rFonts w:ascii="Calibri" w:hAnsi="Calibri" w:cs="Calibri"/>
          <w:b/>
          <w:sz w:val="22"/>
          <w:szCs w:val="22"/>
        </w:rPr>
        <w:t>Pytani</w:t>
      </w:r>
      <w:r w:rsidR="000875E6">
        <w:rPr>
          <w:rFonts w:ascii="Calibri" w:hAnsi="Calibri" w:cs="Calibri"/>
          <w:b/>
          <w:sz w:val="22"/>
          <w:szCs w:val="22"/>
        </w:rPr>
        <w:t>a</w:t>
      </w:r>
      <w:r w:rsidR="000875E6" w:rsidRPr="00F55762">
        <w:rPr>
          <w:rFonts w:ascii="Calibri" w:hAnsi="Calibri" w:cs="Calibri"/>
          <w:b/>
          <w:sz w:val="22"/>
          <w:szCs w:val="22"/>
        </w:rPr>
        <w:t xml:space="preserve"> </w:t>
      </w:r>
      <w:r w:rsidR="00F55762" w:rsidRPr="00F55762">
        <w:rPr>
          <w:rFonts w:ascii="Calibri" w:hAnsi="Calibri" w:cs="Calibri"/>
          <w:b/>
          <w:sz w:val="22"/>
          <w:szCs w:val="22"/>
        </w:rPr>
        <w:t>i odpowiedzi</w:t>
      </w:r>
    </w:p>
    <w:p w:rsidR="007A4006" w:rsidRPr="00DD5794" w:rsidRDefault="007A4006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F0427C">
        <w:rPr>
          <w:rFonts w:ascii="Calibri" w:hAnsi="Calibri" w:cs="Calibri"/>
          <w:sz w:val="22"/>
          <w:szCs w:val="22"/>
        </w:rPr>
        <w:t>2</w:t>
      </w:r>
      <w:r w:rsidRPr="00F55762">
        <w:rPr>
          <w:rFonts w:ascii="Calibri" w:hAnsi="Calibri" w:cs="Calibri"/>
          <w:sz w:val="22"/>
          <w:szCs w:val="22"/>
        </w:rPr>
        <w:t>:</w:t>
      </w:r>
      <w:r w:rsidR="00985D93">
        <w:rPr>
          <w:rFonts w:ascii="Calibri" w:hAnsi="Calibri" w:cs="Calibri"/>
          <w:sz w:val="22"/>
          <w:szCs w:val="22"/>
        </w:rPr>
        <w:t>3</w:t>
      </w:r>
      <w:r w:rsidR="00AA5FFB" w:rsidRPr="00F55762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ab/>
      </w:r>
      <w:r w:rsidRPr="00F55762">
        <w:rPr>
          <w:rFonts w:ascii="Calibri" w:hAnsi="Calibri" w:cs="Calibri"/>
          <w:b/>
          <w:sz w:val="22"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25F8A2E8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8" name="Obraz 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20E908-801D-45DD-9798-84ADC9519E8A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875E6"/>
    <w:rsid w:val="0009072B"/>
    <w:rsid w:val="0009169F"/>
    <w:rsid w:val="000A7DF7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94464"/>
    <w:rsid w:val="005A0D87"/>
    <w:rsid w:val="005B313F"/>
    <w:rsid w:val="005B6731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B418B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95B11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452A"/>
    <w:rsid w:val="00966509"/>
    <w:rsid w:val="00972137"/>
    <w:rsid w:val="00985D93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431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27C"/>
    <w:rsid w:val="00F04571"/>
    <w:rsid w:val="00F3254E"/>
    <w:rsid w:val="00F371F1"/>
    <w:rsid w:val="00F52505"/>
    <w:rsid w:val="00F545A3"/>
    <w:rsid w:val="00F55762"/>
    <w:rsid w:val="00F558E9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CB4E8D9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20E908-801D-45DD-9798-84ADC9519E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20</TotalTime>
  <Pages>1</Pages>
  <Words>135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5</cp:revision>
  <cp:lastPrinted>2023-07-10T05:45:00Z</cp:lastPrinted>
  <dcterms:created xsi:type="dcterms:W3CDTF">2023-09-20T11:07:00Z</dcterms:created>
  <dcterms:modified xsi:type="dcterms:W3CDTF">2023-09-26T10:25:00Z</dcterms:modified>
</cp:coreProperties>
</file>