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B" w:rsidRDefault="008A4BA4">
      <w:pPr>
        <w:spacing w:after="35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0" w:line="259" w:lineRule="auto"/>
        <w:ind w:right="4"/>
        <w:jc w:val="center"/>
      </w:pPr>
      <w:r>
        <w:rPr>
          <w:b/>
          <w:sz w:val="24"/>
        </w:rPr>
        <w:t xml:space="preserve">Harmonogram szkolenia </w:t>
      </w:r>
    </w:p>
    <w:p w:rsidR="006E202B" w:rsidRDefault="008A4BA4">
      <w:pPr>
        <w:spacing w:after="3" w:line="259" w:lineRule="auto"/>
        <w:ind w:right="8"/>
        <w:jc w:val="center"/>
      </w:pPr>
      <w:r>
        <w:rPr>
          <w:b/>
          <w:color w:val="595959"/>
          <w:sz w:val="24"/>
        </w:rPr>
        <w:t xml:space="preserve">„Prawo zamówień publicznych w projektach współfinansowanych ze środków </w:t>
      </w:r>
      <w:r w:rsidR="001B1F5E">
        <w:rPr>
          <w:b/>
          <w:color w:val="595959"/>
          <w:sz w:val="24"/>
        </w:rPr>
        <w:t>Funduszy Europejskich</w:t>
      </w:r>
      <w:r>
        <w:rPr>
          <w:b/>
          <w:color w:val="595959"/>
          <w:sz w:val="24"/>
        </w:rPr>
        <w:t xml:space="preserve">”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234" w:type="dxa"/>
        <w:tblInd w:w="1207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5252"/>
      </w:tblGrid>
      <w:tr w:rsidR="006E202B">
        <w:trPr>
          <w:trHeight w:val="366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Godzina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12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8:30 – 9:00 </w:t>
            </w:r>
          </w:p>
        </w:tc>
        <w:tc>
          <w:tcPr>
            <w:tcW w:w="5252" w:type="dxa"/>
            <w:tcBorders>
              <w:top w:val="single" w:sz="12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2" w:firstLine="0"/>
              <w:jc w:val="center"/>
            </w:pPr>
            <w:r>
              <w:t xml:space="preserve">Logowanie uczestników na platformę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9:00 – 10:30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10:30 – 10:45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15 min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10:45 – 12:15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12:15 – 12:45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30 min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12:45 – 14:15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14:15 – 14:30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15 min </w:t>
            </w:r>
          </w:p>
        </w:tc>
      </w:tr>
      <w:tr w:rsidR="006E202B">
        <w:trPr>
          <w:trHeight w:val="352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14:30 – 15:00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5" w:firstLine="0"/>
              <w:jc w:val="center"/>
            </w:pPr>
            <w:r>
              <w:t xml:space="preserve">Podsumowanie szkolenia </w:t>
            </w:r>
          </w:p>
        </w:tc>
      </w:tr>
    </w:tbl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35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0" w:line="259" w:lineRule="auto"/>
        <w:ind w:right="4"/>
        <w:jc w:val="center"/>
      </w:pPr>
      <w:r>
        <w:rPr>
          <w:b/>
          <w:sz w:val="24"/>
        </w:rPr>
        <w:t xml:space="preserve">Program szkolenia </w:t>
      </w:r>
    </w:p>
    <w:p w:rsidR="006E202B" w:rsidRDefault="008A4BA4">
      <w:pPr>
        <w:spacing w:after="3" w:line="259" w:lineRule="auto"/>
        <w:ind w:right="8"/>
        <w:jc w:val="center"/>
      </w:pPr>
      <w:r>
        <w:rPr>
          <w:b/>
          <w:color w:val="595959"/>
          <w:sz w:val="24"/>
        </w:rPr>
        <w:t xml:space="preserve">„Prawo zamówień publicznych w projektach współfinansowanych ze środków UE”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  <w:r w:rsidR="00343D64" w:rsidRPr="00792E9D">
        <w:rPr>
          <w:b/>
        </w:rPr>
        <w:t>Prowadząca</w:t>
      </w:r>
      <w:r w:rsidR="00890D6B" w:rsidRPr="00792E9D">
        <w:rPr>
          <w:b/>
        </w:rPr>
        <w:t>:</w:t>
      </w:r>
      <w:r w:rsidR="00890D6B">
        <w:t xml:space="preserve"> </w:t>
      </w:r>
      <w:r w:rsidR="00792E9D" w:rsidRPr="00792E9D">
        <w:rPr>
          <w:bCs/>
        </w:rPr>
        <w:t>Katarzyna Wińska-</w:t>
      </w:r>
      <w:proofErr w:type="spellStart"/>
      <w:r w:rsidR="00792E9D" w:rsidRPr="00792E9D">
        <w:rPr>
          <w:bCs/>
        </w:rPr>
        <w:t>Rużewicz</w:t>
      </w:r>
      <w:proofErr w:type="spellEnd"/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6E202B" w:rsidRDefault="008A4BA4">
      <w:pPr>
        <w:tabs>
          <w:tab w:val="center" w:pos="2864"/>
          <w:tab w:val="center" w:pos="5676"/>
        </w:tabs>
        <w:spacing w:after="215" w:line="259" w:lineRule="auto"/>
        <w:ind w:left="0" w:firstLine="0"/>
        <w:jc w:val="left"/>
      </w:pPr>
      <w: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Wprowadzenie do tematyki zamówień publicznych </w:t>
      </w:r>
      <w:r>
        <w:rPr>
          <w:b/>
        </w:rPr>
        <w:tab/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Prawo zamówień publicznych w systemie finansów publicznych, Powielenie zasady z zakresu finansów publicznych – dokonywania zakupu z uzyskaniem najlepszych efektów z danych nakładów jako nowość ustawowa;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Prawo zamówień publicznych, a Kodeks cywilny w tym zasady liczenia terminów;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Przegląd przepisów innych ustaw niezbędnych do stosowania Prawa zamówień publicznych;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Wspólnotowe regulacje zamówień publicznych;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Systematyka nowej ustawy Prawo zamówień publicznych.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Zakres przedmiotowy obowiązywania ustawy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Nowe definicje ustawowe i skutki z tym związane w tym definicja zamówienia publicznego i pisemności;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Progi kwotowe i związane z nimi procedury udzielania zamówień: uproszczona i podstawowa; 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Nowe zasady łączenia różnych zamówień; </w:t>
      </w:r>
    </w:p>
    <w:p w:rsidR="00D03242" w:rsidRDefault="008A4BA4">
      <w:pPr>
        <w:numPr>
          <w:ilvl w:val="0"/>
          <w:numId w:val="1"/>
        </w:numPr>
        <w:ind w:hanging="158"/>
      </w:pPr>
      <w:r>
        <w:lastRenderedPageBreak/>
        <w:t xml:space="preserve">Dzielenie zamówienia na części (art. 6a uprzedniej PZP, a art. 30 ust 4 Nowej PZP); </w:t>
      </w:r>
    </w:p>
    <w:p w:rsidR="006E202B" w:rsidRDefault="008A4BA4" w:rsidP="00D03242">
      <w:pPr>
        <w:ind w:left="0" w:firstLine="0"/>
      </w:pPr>
      <w:r>
        <w:t xml:space="preserve">• Sformułowanie „podobne dostawy” -  jak oceniać;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Komunikacja elektroniczna. </w:t>
      </w:r>
    </w:p>
    <w:p w:rsidR="006E202B" w:rsidRDefault="008A4BA4" w:rsidP="00E03D6F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E202B" w:rsidRDefault="008A4BA4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Przygotowanie </w:t>
      </w:r>
      <w:r>
        <w:rPr>
          <w:b/>
        </w:rPr>
        <w:tab/>
        <w:t xml:space="preserve">postępowania </w:t>
      </w:r>
      <w:r>
        <w:rPr>
          <w:b/>
        </w:rPr>
        <w:tab/>
        <w:t xml:space="preserve">o </w:t>
      </w:r>
      <w:r>
        <w:rPr>
          <w:b/>
        </w:rPr>
        <w:tab/>
        <w:t xml:space="preserve">udzielenie </w:t>
      </w:r>
      <w:r>
        <w:rPr>
          <w:b/>
        </w:rPr>
        <w:tab/>
        <w:t xml:space="preserve">zamówienia </w:t>
      </w:r>
      <w:r>
        <w:rPr>
          <w:b/>
        </w:rPr>
        <w:tab/>
        <w:t xml:space="preserve">– </w:t>
      </w:r>
      <w:r>
        <w:rPr>
          <w:b/>
        </w:rPr>
        <w:tab/>
        <w:t xml:space="preserve">sporządzenie </w:t>
      </w:r>
      <w:r>
        <w:rPr>
          <w:b/>
        </w:rPr>
        <w:tab/>
        <w:t>dokumentacji  w postępowaniach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Analiza potrzeb zamawiającego;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Konflikt interesów – nowości w zakresie wyłączania osób z postępowania;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Nowości w zakresie komunikowania się z wykonawcą w tym komunikacja ustna;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Opis Przedmiotu Zamówienia;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Określenie wartości szacunkowej zamówienia i dzielenie zamówienia na części;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Czym jest pierwsze zamówienie przy obliczaniu terminu ustalenia wartości zamówienia;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Tryby postępowania – różnice wynikające z nowej PZP w tym Tryb Podstawowy;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Specyfikacja istotnych warunków zamówienia, a SWZ - różnice pomiędzy dawnymi rozwiązaniami  a wprowadzonymi w 2021 roku;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Opis potrzeb i wymagań jako novum;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Informowanie Prezesa UZP o złożonych ofertach i wnioskach o dopuszczenie do postępowania oraz raportowanie;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Przygotowanie dokumentów;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Aspekty Społeczne.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Dokumentacja w postępowaniu </w:t>
      </w:r>
      <w:r>
        <w:rPr>
          <w:b/>
        </w:rPr>
        <w:tab/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Warunki podmiotowe udziału w postępowaniu i dokumenty potwierdzające ich spełnienie;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Podmiotowe środki dowodowe;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Przedmiotowe środki dowodowe – związane z tym nowe zasady prowadzenia aukcji elektronicznej;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Nowe zasady składania dokumentów wraz z ofertą oraz odrębnie na wezwanie zamawiającego oraz  uzupełnianie dokumentów;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Wykluczenie wykonawcy z postępowania - przyczyny i dokumentowanie wykluczenia;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Wykonawcy ubiegający się wspólnie o udzielenie zamówienia różnica w zakresie dotychczasowego art. 23 ust 6 oraz nowych 58 ust 4 wraz z art. 60. </w:t>
      </w:r>
    </w:p>
    <w:p w:rsidR="006E202B" w:rsidRDefault="008A4BA4">
      <w:pPr>
        <w:spacing w:after="54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Tryby postępowania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Terminy;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Negocjacje jako dogrywka w trybie podstawowym – wprowadzenie zasady ulepszania ofert;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Nowe czynności w procedurach przetargowych z podziałem na zamówienia poniżej (w tym tryb podstawowy) i powyżej progów unijnych; 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Nowe zasady dotyczące zamówień na usługi społeczne. </w:t>
      </w:r>
    </w:p>
    <w:p w:rsidR="006E202B" w:rsidRDefault="008A4BA4" w:rsidP="00DB56B5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lastRenderedPageBreak/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Wybór najkorzystniejszej oferty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Definicja oferty, forma oferty, treść oferty, oferta częściowa, rodzaje podpisów;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Odrzucenie oferty;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Kryteria oceny ofert;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Zawiadomienie o wyniku postępowania;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Unieważnienie postępowania;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Zawarcie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Ogłoszenie o udzieleniu zamówienia.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Umowy o zamówienia publiczne - cechy szczególne wynikające z PZP 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Forma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Zaliczki/płatności częściowe;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Zmiany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Szczególny przypadek odstąpienia od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Unieważnienie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Zabezpieczenie należytego wykonania umowy;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Raport z realizacji; 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Klauzule abuzywne; • Klauzule waloryzacyjne.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Kontrola zamówień publicznych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Sankcje;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Przykładowe możliwości obrony;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Procedury odwoławcze w zakresie pokontrolnym.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7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6E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21" w:right="1126" w:bottom="1881" w:left="1133" w:header="284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31" w:rsidRDefault="00727D31">
      <w:pPr>
        <w:spacing w:after="0" w:line="240" w:lineRule="auto"/>
      </w:pPr>
      <w:r>
        <w:separator/>
      </w:r>
    </w:p>
  </w:endnote>
  <w:endnote w:type="continuationSeparator" w:id="0">
    <w:p w:rsidR="00727D31" w:rsidRDefault="0072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89" name="Group 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90" name="Shape 46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4689" style="width:540pt;height:0.25pt;position:absolute;mso-position-horizontal-relative:page;mso-position-horizontal:absolute;margin-left:20.7pt;mso-position-vertical-relative:page;margin-top:733.36pt;" coordsize="68580,31">
              <v:shape id="Shape 4690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współfinansowany z Funduszu Spójności Unii Europejskiej w ramach Programu Pomoc Techniczna 2014-2020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47" name="Group 4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48" name="Shape 4648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4647" style="width:540pt;height:0.25pt;position:absolute;mso-position-horizontal-relative:page;mso-position-horizontal:absolute;margin-left:20.7pt;mso-position-vertical-relative:page;margin-top:733.36pt;" coordsize="68580,31">
              <v:shape id="Shape 4648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współfinansowany z Funduszu Spójności Unii Europejskiej w ramach Programu Pomoc Techniczna 2014-2020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05" name="Group 4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06" name="Shape 4606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4605" style="width:540pt;height:0.25pt;position:absolute;mso-position-horizontal-relative:page;mso-position-horizontal:absolute;margin-left:20.7pt;mso-position-vertical-relative:page;margin-top:733.36pt;" coordsize="68580,31">
              <v:shape id="Shape 4606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współfinansowany z Funduszu Spójności Unii Europejskiej w ramach Programu Pomoc Techniczna 2014-2020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31" w:rsidRDefault="00727D31">
      <w:pPr>
        <w:spacing w:after="0" w:line="240" w:lineRule="auto"/>
      </w:pPr>
      <w:r>
        <w:separator/>
      </w:r>
    </w:p>
  </w:footnote>
  <w:footnote w:type="continuationSeparator" w:id="0">
    <w:p w:rsidR="00727D31" w:rsidRDefault="0072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C92"/>
    <w:multiLevelType w:val="hybridMultilevel"/>
    <w:tmpl w:val="724C4786"/>
    <w:lvl w:ilvl="0" w:tplc="4E78DA06">
      <w:start w:val="1"/>
      <w:numFmt w:val="bullet"/>
      <w:lvlText w:val="•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E612">
      <w:start w:val="2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2845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EFB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079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479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C3F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E93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AD4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B"/>
    <w:rsid w:val="001743A5"/>
    <w:rsid w:val="001874A3"/>
    <w:rsid w:val="001B1F5E"/>
    <w:rsid w:val="00343D64"/>
    <w:rsid w:val="006E202B"/>
    <w:rsid w:val="006F2BEB"/>
    <w:rsid w:val="00727D31"/>
    <w:rsid w:val="00792E9D"/>
    <w:rsid w:val="00890D6B"/>
    <w:rsid w:val="008A4BA4"/>
    <w:rsid w:val="00CE6881"/>
    <w:rsid w:val="00D03242"/>
    <w:rsid w:val="00D92B56"/>
    <w:rsid w:val="00DB56B5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907"/>
  <w15:docId w15:val="{4B45598E-7941-4364-9943-BB4EBAD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Urzad Marszalkowski Wojewodztwa Pomorskiego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Tarwacka Katarzyna</dc:creator>
  <cp:keywords/>
  <cp:lastModifiedBy>Sowa-Niecko Kamila</cp:lastModifiedBy>
  <cp:revision>9</cp:revision>
  <dcterms:created xsi:type="dcterms:W3CDTF">2021-09-30T06:45:00Z</dcterms:created>
  <dcterms:modified xsi:type="dcterms:W3CDTF">2021-09-30T10:32:00Z</dcterms:modified>
</cp:coreProperties>
</file>